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C26BA" w14:textId="77777777" w:rsidR="00B662C7" w:rsidRDefault="00B662C7" w:rsidP="00B662C7">
      <w:pPr>
        <w:jc w:val="center"/>
        <w:rPr>
          <w:b/>
          <w:bCs/>
          <w:sz w:val="48"/>
          <w:szCs w:val="48"/>
        </w:rPr>
      </w:pPr>
    </w:p>
    <w:p w14:paraId="6E7A75F0" w14:textId="4ED70A0A" w:rsidR="00B662C7" w:rsidRDefault="00B662C7" w:rsidP="00134447">
      <w:pPr>
        <w:jc w:val="center"/>
        <w:rPr>
          <w:b/>
          <w:bCs/>
          <w:sz w:val="48"/>
          <w:szCs w:val="48"/>
        </w:rPr>
      </w:pPr>
      <w:r w:rsidRPr="00B662C7">
        <w:rPr>
          <w:b/>
          <w:bCs/>
          <w:sz w:val="48"/>
          <w:szCs w:val="48"/>
        </w:rPr>
        <w:t>POLITYKA BEZPIECZEŃSTWA</w:t>
      </w:r>
      <w:r w:rsidR="00286D79">
        <w:rPr>
          <w:b/>
          <w:bCs/>
          <w:sz w:val="48"/>
          <w:szCs w:val="48"/>
        </w:rPr>
        <w:t xml:space="preserve"> DANYCH OSOBOWYCH</w:t>
      </w:r>
    </w:p>
    <w:p w14:paraId="2AA8EE10" w14:textId="7910B2CF" w:rsidR="00C923BC" w:rsidRDefault="00C923BC" w:rsidP="00134447">
      <w:pPr>
        <w:jc w:val="center"/>
        <w:rPr>
          <w:b/>
          <w:bCs/>
          <w:sz w:val="48"/>
          <w:szCs w:val="48"/>
        </w:rPr>
      </w:pPr>
      <w:r>
        <w:rPr>
          <w:noProof/>
          <w:lang w:eastAsia="pl-PL"/>
        </w:rPr>
        <w:drawing>
          <wp:inline distT="0" distB="0" distL="0" distR="0" wp14:anchorId="10A8AF1B" wp14:editId="325254AF">
            <wp:extent cx="2165684" cy="42862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49" cy="431706"/>
                    </a:xfrm>
                    <a:prstGeom prst="rect">
                      <a:avLst/>
                    </a:prstGeom>
                    <a:noFill/>
                    <a:ln>
                      <a:noFill/>
                    </a:ln>
                  </pic:spPr>
                </pic:pic>
              </a:graphicData>
            </a:graphic>
          </wp:inline>
        </w:drawing>
      </w:r>
    </w:p>
    <w:p w14:paraId="77354972" w14:textId="75B058D8" w:rsidR="00C923BC" w:rsidRDefault="00C923BC" w:rsidP="00134447">
      <w:pPr>
        <w:jc w:val="center"/>
        <w:rPr>
          <w:b/>
          <w:bCs/>
          <w:sz w:val="48"/>
          <w:szCs w:val="48"/>
        </w:rPr>
      </w:pPr>
    </w:p>
    <w:p w14:paraId="094D49A3" w14:textId="77777777" w:rsidR="00C66E5E" w:rsidRDefault="00C66E5E" w:rsidP="00134447">
      <w:pPr>
        <w:jc w:val="center"/>
        <w:rPr>
          <w:b/>
          <w:bCs/>
          <w:sz w:val="48"/>
          <w:szCs w:val="48"/>
        </w:rPr>
      </w:pPr>
    </w:p>
    <w:p w14:paraId="54FDE90D" w14:textId="5F1E5D26" w:rsidR="00C923BC" w:rsidRPr="00C923BC" w:rsidRDefault="00BD71FD" w:rsidP="00C923BC">
      <w:pPr>
        <w:jc w:val="center"/>
        <w:rPr>
          <w:b/>
          <w:bCs/>
          <w:sz w:val="72"/>
          <w:szCs w:val="72"/>
        </w:rPr>
      </w:pPr>
      <w:r>
        <w:rPr>
          <w:b/>
          <w:bCs/>
          <w:sz w:val="48"/>
          <w:szCs w:val="48"/>
        </w:rPr>
        <w:t xml:space="preserve"> </w:t>
      </w:r>
      <w:r w:rsidR="00C923BC" w:rsidRPr="00C923BC">
        <w:rPr>
          <w:b/>
          <w:bCs/>
          <w:sz w:val="72"/>
          <w:szCs w:val="72"/>
        </w:rPr>
        <w:t xml:space="preserve">Fundacja </w:t>
      </w:r>
    </w:p>
    <w:p w14:paraId="2FC47B71" w14:textId="77777777" w:rsidR="00C923BC" w:rsidRDefault="00C923BC" w:rsidP="00C923BC">
      <w:pPr>
        <w:jc w:val="center"/>
        <w:rPr>
          <w:b/>
          <w:bCs/>
          <w:sz w:val="72"/>
          <w:szCs w:val="72"/>
        </w:rPr>
      </w:pPr>
      <w:r w:rsidRPr="00C923BC">
        <w:rPr>
          <w:b/>
          <w:bCs/>
          <w:sz w:val="72"/>
          <w:szCs w:val="72"/>
        </w:rPr>
        <w:t xml:space="preserve"> </w:t>
      </w:r>
      <w:r w:rsidRPr="00C923BC">
        <w:rPr>
          <w:b/>
          <w:bCs/>
          <w:sz w:val="56"/>
          <w:szCs w:val="56"/>
        </w:rPr>
        <w:t>Domowe Hospicjum Dziecięce</w:t>
      </w:r>
      <w:r w:rsidRPr="00C923BC">
        <w:rPr>
          <w:b/>
          <w:bCs/>
          <w:sz w:val="72"/>
          <w:szCs w:val="72"/>
        </w:rPr>
        <w:t xml:space="preserve"> </w:t>
      </w:r>
    </w:p>
    <w:p w14:paraId="50302E54" w14:textId="2AE86056" w:rsidR="000E004F" w:rsidRPr="00C923BC" w:rsidRDefault="00C923BC" w:rsidP="00C923BC">
      <w:pPr>
        <w:jc w:val="center"/>
        <w:rPr>
          <w:b/>
          <w:bCs/>
          <w:i/>
          <w:sz w:val="72"/>
          <w:szCs w:val="72"/>
        </w:rPr>
      </w:pPr>
      <w:r w:rsidRPr="00C923BC">
        <w:rPr>
          <w:b/>
          <w:bCs/>
          <w:sz w:val="72"/>
          <w:szCs w:val="72"/>
        </w:rPr>
        <w:t>Promyczek</w:t>
      </w:r>
    </w:p>
    <w:p w14:paraId="1E86D953" w14:textId="77777777" w:rsidR="000E004F" w:rsidRPr="00134447" w:rsidRDefault="000E004F" w:rsidP="00B662C7">
      <w:pPr>
        <w:jc w:val="center"/>
        <w:rPr>
          <w:b/>
          <w:bCs/>
          <w:i/>
          <w:sz w:val="48"/>
          <w:szCs w:val="48"/>
        </w:rPr>
      </w:pPr>
    </w:p>
    <w:p w14:paraId="58CE4A83" w14:textId="17EF02C1" w:rsidR="00B662C7" w:rsidRDefault="00B662C7" w:rsidP="00B662C7">
      <w:pPr>
        <w:jc w:val="center"/>
        <w:rPr>
          <w:b/>
          <w:bCs/>
          <w:sz w:val="48"/>
          <w:szCs w:val="48"/>
        </w:rPr>
      </w:pPr>
    </w:p>
    <w:p w14:paraId="02A27C2B" w14:textId="0A04B1BC" w:rsidR="00CA1D39" w:rsidRDefault="00CA1D39" w:rsidP="00B662C7">
      <w:pPr>
        <w:jc w:val="center"/>
        <w:rPr>
          <w:b/>
          <w:bCs/>
          <w:sz w:val="48"/>
          <w:szCs w:val="48"/>
        </w:rPr>
      </w:pPr>
    </w:p>
    <w:p w14:paraId="2E823C7D" w14:textId="77777777" w:rsidR="00CA1D39" w:rsidRDefault="00CA1D39" w:rsidP="00B662C7">
      <w:pPr>
        <w:jc w:val="center"/>
        <w:rPr>
          <w:b/>
          <w:bCs/>
          <w:sz w:val="48"/>
          <w:szCs w:val="48"/>
        </w:rPr>
      </w:pPr>
    </w:p>
    <w:p w14:paraId="55574A19" w14:textId="77777777" w:rsidR="00CA1D39" w:rsidRDefault="00CA1D39" w:rsidP="00B662C7">
      <w:pPr>
        <w:jc w:val="center"/>
        <w:rPr>
          <w:b/>
          <w:bCs/>
          <w:sz w:val="48"/>
          <w:szCs w:val="48"/>
        </w:rPr>
      </w:pPr>
    </w:p>
    <w:p w14:paraId="7D0D76E7" w14:textId="4935D40C" w:rsidR="00B662C7" w:rsidRPr="00B662C7" w:rsidRDefault="00B662C7" w:rsidP="00B662C7">
      <w:pPr>
        <w:jc w:val="center"/>
        <w:rPr>
          <w:b/>
          <w:bCs/>
          <w:sz w:val="48"/>
          <w:szCs w:val="48"/>
        </w:rPr>
      </w:pPr>
    </w:p>
    <w:p w14:paraId="42708629" w14:textId="61922108" w:rsidR="00B662C7" w:rsidRPr="00B662C7" w:rsidRDefault="00B662C7" w:rsidP="00B662C7">
      <w:pPr>
        <w:jc w:val="center"/>
        <w:rPr>
          <w:b/>
          <w:bCs/>
          <w:sz w:val="48"/>
          <w:szCs w:val="48"/>
        </w:rPr>
      </w:pPr>
    </w:p>
    <w:p w14:paraId="48CAD7DF" w14:textId="77777777" w:rsidR="00CA1D39" w:rsidRDefault="00CA1D39" w:rsidP="00B662C7">
      <w:pPr>
        <w:jc w:val="center"/>
        <w:rPr>
          <w:b/>
          <w:bCs/>
          <w:sz w:val="48"/>
          <w:szCs w:val="48"/>
        </w:rPr>
      </w:pPr>
    </w:p>
    <w:p w14:paraId="4CFA1508" w14:textId="16C12430" w:rsidR="00D753F4" w:rsidRDefault="00C923BC" w:rsidP="0012227C">
      <w:pPr>
        <w:jc w:val="center"/>
        <w:rPr>
          <w:b/>
          <w:bCs/>
          <w:sz w:val="48"/>
          <w:szCs w:val="48"/>
        </w:rPr>
        <w:sectPr w:rsidR="00D753F4" w:rsidSect="00D753F4">
          <w:headerReference w:type="even" r:id="rId9"/>
          <w:headerReference w:type="default" r:id="rId10"/>
          <w:headerReference w:type="first" r:id="rId11"/>
          <w:footerReference w:type="first" r:id="rId12"/>
          <w:pgSz w:w="11906" w:h="16838"/>
          <w:pgMar w:top="1417" w:right="1417" w:bottom="1417" w:left="1417" w:header="708" w:footer="708" w:gutter="0"/>
          <w:cols w:space="708"/>
          <w:docGrid w:linePitch="360"/>
        </w:sectPr>
      </w:pPr>
      <w:r w:rsidRPr="00C923BC">
        <w:rPr>
          <w:bCs/>
          <w:sz w:val="24"/>
          <w:szCs w:val="24"/>
        </w:rPr>
        <w:t>Otwock</w:t>
      </w:r>
      <w:r>
        <w:rPr>
          <w:bCs/>
          <w:sz w:val="24"/>
          <w:szCs w:val="24"/>
        </w:rPr>
        <w:t>,</w:t>
      </w:r>
      <w:r w:rsidRPr="00C923BC">
        <w:rPr>
          <w:bCs/>
          <w:sz w:val="24"/>
          <w:szCs w:val="24"/>
        </w:rPr>
        <w:t xml:space="preserve"> czerwiec 201</w:t>
      </w:r>
      <w:r w:rsidR="00AF317C">
        <w:rPr>
          <w:bCs/>
          <w:sz w:val="24"/>
          <w:szCs w:val="24"/>
        </w:rPr>
        <w:t>8</w:t>
      </w:r>
    </w:p>
    <w:p w14:paraId="1B5D5438" w14:textId="2C4DF16E" w:rsidR="000973A2" w:rsidRDefault="003334E9" w:rsidP="00AF317C">
      <w:pPr>
        <w:jc w:val="center"/>
        <w:rPr>
          <w:b/>
          <w:bCs/>
        </w:rPr>
      </w:pPr>
      <w:r w:rsidRPr="003334E9">
        <w:rPr>
          <w:b/>
          <w:bCs/>
        </w:rPr>
        <w:lastRenderedPageBreak/>
        <w:t>§</w:t>
      </w:r>
      <w:r>
        <w:rPr>
          <w:b/>
          <w:bCs/>
        </w:rPr>
        <w:t>1</w:t>
      </w:r>
    </w:p>
    <w:p w14:paraId="1D604096" w14:textId="4E86905E" w:rsidR="007C1D4F" w:rsidRPr="003334E9" w:rsidRDefault="009D784D" w:rsidP="003334E9">
      <w:pPr>
        <w:jc w:val="center"/>
        <w:rPr>
          <w:rStyle w:val="Odwoanieintensywne"/>
          <w:smallCaps w:val="0"/>
          <w:spacing w:val="0"/>
        </w:rPr>
      </w:pPr>
      <w:r>
        <w:rPr>
          <w:b/>
          <w:bCs/>
        </w:rPr>
        <w:t>Postanowienia ogólne</w:t>
      </w:r>
    </w:p>
    <w:p w14:paraId="39FA4EC3" w14:textId="00465758" w:rsidR="006422B3" w:rsidRPr="004F122D" w:rsidRDefault="004F122D" w:rsidP="00C66E5E">
      <w:pPr>
        <w:pStyle w:val="Akapitzlist"/>
        <w:numPr>
          <w:ilvl w:val="0"/>
          <w:numId w:val="2"/>
        </w:numPr>
        <w:rPr>
          <w:bCs/>
        </w:rPr>
      </w:pPr>
      <w:r>
        <w:rPr>
          <w:bCs/>
        </w:rPr>
        <w:t>Polityka B</w:t>
      </w:r>
      <w:r w:rsidR="006422B3" w:rsidRPr="004F122D">
        <w:rPr>
          <w:bCs/>
        </w:rPr>
        <w:t>ezpieczeństwa rozumiana jest jako wykaz praw, reguł i wewnętrznych praktyk regulujących sposób zar</w:t>
      </w:r>
      <w:r w:rsidRPr="004F122D">
        <w:rPr>
          <w:bCs/>
        </w:rPr>
        <w:t xml:space="preserve">ządzania i ochrony danych osobowych </w:t>
      </w:r>
      <w:r w:rsidR="00C66E5E">
        <w:rPr>
          <w:bCs/>
        </w:rPr>
        <w:t>dla</w:t>
      </w:r>
      <w:r w:rsidRPr="004F122D">
        <w:rPr>
          <w:bCs/>
        </w:rPr>
        <w:t xml:space="preserve"> </w:t>
      </w:r>
      <w:r w:rsidR="00C66E5E" w:rsidRPr="00C66E5E">
        <w:rPr>
          <w:bCs/>
          <w:color w:val="000000" w:themeColor="text1"/>
        </w:rPr>
        <w:t>Domowego Hospicjum Dziecięcego Promyczek z siedzibą</w:t>
      </w:r>
      <w:r w:rsidR="00A67EA0">
        <w:rPr>
          <w:bCs/>
          <w:color w:val="000000" w:themeColor="text1"/>
        </w:rPr>
        <w:t xml:space="preserve"> w Otwocku, ul. Narutowicza 80</w:t>
      </w:r>
      <w:r w:rsidR="00C66E5E" w:rsidRPr="00C66E5E">
        <w:rPr>
          <w:bCs/>
          <w:color w:val="000000" w:themeColor="text1"/>
        </w:rPr>
        <w:t>, 05-400 Otwock</w:t>
      </w:r>
      <w:r w:rsidR="00C66E5E">
        <w:rPr>
          <w:bCs/>
        </w:rPr>
        <w:t xml:space="preserve"> </w:t>
      </w:r>
      <w:r w:rsidR="006F4921">
        <w:rPr>
          <w:bCs/>
        </w:rPr>
        <w:t xml:space="preserve">zwanej </w:t>
      </w:r>
      <w:r w:rsidR="006F4921" w:rsidRPr="00C66E5E">
        <w:rPr>
          <w:bCs/>
          <w:color w:val="000000" w:themeColor="text1"/>
        </w:rPr>
        <w:t xml:space="preserve">dalej </w:t>
      </w:r>
      <w:r w:rsidR="00C66E5E" w:rsidRPr="00C66E5E">
        <w:rPr>
          <w:bCs/>
          <w:color w:val="000000" w:themeColor="text1"/>
        </w:rPr>
        <w:t>Hospicjum</w:t>
      </w:r>
      <w:r w:rsidR="00C66E5E">
        <w:rPr>
          <w:bCs/>
          <w:color w:val="FF0000"/>
        </w:rPr>
        <w:t>.</w:t>
      </w:r>
    </w:p>
    <w:p w14:paraId="5B3FF996" w14:textId="795CE653" w:rsidR="006422B3" w:rsidRPr="004F122D" w:rsidRDefault="004F122D" w:rsidP="00FC0030">
      <w:pPr>
        <w:pStyle w:val="Akapitzlist"/>
        <w:numPr>
          <w:ilvl w:val="0"/>
          <w:numId w:val="2"/>
        </w:numPr>
        <w:rPr>
          <w:bCs/>
        </w:rPr>
      </w:pPr>
      <w:r w:rsidRPr="004F122D">
        <w:rPr>
          <w:bCs/>
        </w:rPr>
        <w:t>Dokument obejmuje</w:t>
      </w:r>
      <w:r w:rsidR="006422B3" w:rsidRPr="004F122D">
        <w:rPr>
          <w:bCs/>
        </w:rPr>
        <w:t xml:space="preserve"> całokształt zagadnień związanych z problemem zabezpieczenia danych osobowych przetwarzanych zarówno t</w:t>
      </w:r>
      <w:r>
        <w:rPr>
          <w:bCs/>
        </w:rPr>
        <w:t xml:space="preserve">radycyjnie, jak </w:t>
      </w:r>
      <w:r w:rsidR="006422B3" w:rsidRPr="004F122D">
        <w:rPr>
          <w:bCs/>
        </w:rPr>
        <w:t>i w systemach informatycznych. Wskazuje działania przewidziane do wykonania oraz sposób ustanowienia zasad i reguł postępowania koniecznych do zapewnienia właściwej ochrony przetwarzanych danych osobowych.</w:t>
      </w:r>
    </w:p>
    <w:p w14:paraId="27504200" w14:textId="77777777" w:rsidR="000973A2" w:rsidRDefault="004F122D" w:rsidP="004F122D">
      <w:pPr>
        <w:jc w:val="center"/>
        <w:rPr>
          <w:b/>
          <w:bCs/>
        </w:rPr>
      </w:pPr>
      <w:bookmarkStart w:id="0" w:name="_Hlk512804081"/>
      <w:r w:rsidRPr="004F122D">
        <w:rPr>
          <w:b/>
          <w:bCs/>
        </w:rPr>
        <w:t>§</w:t>
      </w:r>
      <w:r>
        <w:rPr>
          <w:b/>
          <w:bCs/>
        </w:rPr>
        <w:t>2</w:t>
      </w:r>
    </w:p>
    <w:p w14:paraId="0587E12B" w14:textId="6674BBA9" w:rsidR="004F122D" w:rsidRPr="004F122D" w:rsidRDefault="002B104A" w:rsidP="004F122D">
      <w:pPr>
        <w:jc w:val="center"/>
        <w:rPr>
          <w:bCs/>
        </w:rPr>
      </w:pPr>
      <w:r>
        <w:rPr>
          <w:b/>
          <w:bCs/>
        </w:rPr>
        <w:t xml:space="preserve"> Podstawa prawna</w:t>
      </w:r>
    </w:p>
    <w:bookmarkEnd w:id="0"/>
    <w:p w14:paraId="12F53997" w14:textId="544281F9" w:rsidR="004F7D96" w:rsidRDefault="004F122D" w:rsidP="00FC0030">
      <w:pPr>
        <w:pStyle w:val="Akapitzlist"/>
        <w:numPr>
          <w:ilvl w:val="0"/>
          <w:numId w:val="3"/>
        </w:numPr>
        <w:rPr>
          <w:bCs/>
        </w:rPr>
      </w:pPr>
      <w:r w:rsidRPr="004F122D">
        <w:rPr>
          <w:bCs/>
        </w:rPr>
        <w:t>Polityka Bezpieczeństwa</w:t>
      </w:r>
      <w:r w:rsidR="004F7D96" w:rsidRPr="004F122D">
        <w:rPr>
          <w:bCs/>
        </w:rPr>
        <w:t xml:space="preserve"> została opracowana na podstawie:</w:t>
      </w:r>
    </w:p>
    <w:p w14:paraId="019DC466" w14:textId="77777777" w:rsidR="00B61BBB" w:rsidRDefault="00A27E98" w:rsidP="00FC0030">
      <w:pPr>
        <w:pStyle w:val="Akapitzlist"/>
        <w:numPr>
          <w:ilvl w:val="0"/>
          <w:numId w:val="20"/>
        </w:numPr>
        <w:rPr>
          <w:bCs/>
        </w:rPr>
      </w:pPr>
      <w:bookmarkStart w:id="1" w:name="_Hlk512493818"/>
      <w:r w:rsidRPr="00A27E98">
        <w:rPr>
          <w:bCs/>
        </w:rPr>
        <w:t>Rozporządzenie Parlamentu Europejskiego i Rady (UE) z dnia 27 kwietnia 2016 r. w sprawie ochrony osób fizycznych w związku z przetwarzaniem danych osobowych i w sprawie swobodnego przepływu takich danych oraz uchylenia dyrektywy 95/46/WE (ogólne rozporządzenie o ochronie danych),</w:t>
      </w:r>
      <w:bookmarkEnd w:id="1"/>
    </w:p>
    <w:p w14:paraId="3F157930" w14:textId="09673DD6" w:rsidR="00B61BBB" w:rsidRDefault="00A27E98" w:rsidP="00FC0030">
      <w:pPr>
        <w:pStyle w:val="Akapitzlist"/>
        <w:numPr>
          <w:ilvl w:val="0"/>
          <w:numId w:val="20"/>
        </w:numPr>
        <w:rPr>
          <w:bCs/>
        </w:rPr>
      </w:pPr>
      <w:r w:rsidRPr="00B61BBB">
        <w:rPr>
          <w:bCs/>
        </w:rPr>
        <w:t>Ustawa z dnia 15 kwietnia 2011 r. o działalności leczniczej (</w:t>
      </w:r>
      <w:proofErr w:type="spellStart"/>
      <w:r w:rsidR="004009D6">
        <w:t>t.j</w:t>
      </w:r>
      <w:proofErr w:type="spellEnd"/>
      <w:r w:rsidR="004009D6">
        <w:t xml:space="preserve">. z dnia 8 grudnia 2017 r. </w:t>
      </w:r>
      <w:hyperlink r:id="rId13" w:history="1">
        <w:r w:rsidR="004009D6">
          <w:rPr>
            <w:rStyle w:val="Hipercze"/>
          </w:rPr>
          <w:t>(Dz.U. z 2018 r. poz. 160)</w:t>
        </w:r>
      </w:hyperlink>
    </w:p>
    <w:p w14:paraId="6EE22814" w14:textId="7A1936F1" w:rsidR="00B61BBB" w:rsidRDefault="00A27E98" w:rsidP="00FC0030">
      <w:pPr>
        <w:pStyle w:val="Akapitzlist"/>
        <w:numPr>
          <w:ilvl w:val="0"/>
          <w:numId w:val="20"/>
        </w:numPr>
        <w:rPr>
          <w:bCs/>
        </w:rPr>
      </w:pPr>
      <w:r w:rsidRPr="00B61BBB">
        <w:rPr>
          <w:bCs/>
        </w:rPr>
        <w:t>Ustawa z dnia 06</w:t>
      </w:r>
      <w:r w:rsidR="004009D6">
        <w:rPr>
          <w:bCs/>
        </w:rPr>
        <w:t xml:space="preserve"> listopada</w:t>
      </w:r>
      <w:r w:rsidRPr="00B61BBB">
        <w:rPr>
          <w:bCs/>
        </w:rPr>
        <w:t xml:space="preserve"> 2008 r.  o prawach pacjenta i Rzeczniku Praw Pacjenta (</w:t>
      </w:r>
      <w:proofErr w:type="spellStart"/>
      <w:r w:rsidR="004009D6">
        <w:t>t</w:t>
      </w:r>
      <w:r w:rsidR="00300BE6">
        <w:t>.</w:t>
      </w:r>
      <w:r w:rsidR="004009D6">
        <w:t>j</w:t>
      </w:r>
      <w:proofErr w:type="spellEnd"/>
      <w:r w:rsidR="004009D6">
        <w:t xml:space="preserve">. z dnia 8 czerwca 2017 r. </w:t>
      </w:r>
      <w:hyperlink r:id="rId14" w:history="1">
        <w:r w:rsidR="004009D6">
          <w:rPr>
            <w:rStyle w:val="Hipercze"/>
          </w:rPr>
          <w:t>(Dz.U. z 2017 r. poz. 1318)</w:t>
        </w:r>
      </w:hyperlink>
      <w:r w:rsidR="004009D6" w:rsidRPr="00B61BBB" w:rsidDel="004009D6">
        <w:rPr>
          <w:bCs/>
        </w:rPr>
        <w:t xml:space="preserve"> </w:t>
      </w:r>
      <w:r w:rsidRPr="00B61BBB">
        <w:rPr>
          <w:bCs/>
        </w:rPr>
        <w:t>),</w:t>
      </w:r>
    </w:p>
    <w:p w14:paraId="62D9D42E" w14:textId="2DFC48BC" w:rsidR="00B61BBB" w:rsidRDefault="00A27E98" w:rsidP="00FC0030">
      <w:pPr>
        <w:pStyle w:val="Akapitzlist"/>
        <w:numPr>
          <w:ilvl w:val="0"/>
          <w:numId w:val="20"/>
        </w:numPr>
        <w:rPr>
          <w:bCs/>
        </w:rPr>
      </w:pPr>
      <w:r w:rsidRPr="00B61BBB">
        <w:rPr>
          <w:bCs/>
        </w:rPr>
        <w:t>Ustawa z dnia 27 sierpnia 2004 r. o świadczeniach zdrowotnych finansowanych ze świadczeń publicznych (</w:t>
      </w:r>
      <w:proofErr w:type="spellStart"/>
      <w:r w:rsidRPr="00B61BBB">
        <w:rPr>
          <w:bCs/>
        </w:rPr>
        <w:t>t.j</w:t>
      </w:r>
      <w:proofErr w:type="spellEnd"/>
      <w:r w:rsidRPr="00B61BBB">
        <w:rPr>
          <w:bCs/>
        </w:rPr>
        <w:t>. Dz. U. z 2017 r. poz. 1938, 2110, 2217, 2361, 2434),</w:t>
      </w:r>
    </w:p>
    <w:p w14:paraId="070D28F0" w14:textId="77777777" w:rsidR="00B61BBB" w:rsidRDefault="00A27E98" w:rsidP="00FC0030">
      <w:pPr>
        <w:pStyle w:val="Akapitzlist"/>
        <w:numPr>
          <w:ilvl w:val="0"/>
          <w:numId w:val="20"/>
        </w:numPr>
        <w:rPr>
          <w:bCs/>
        </w:rPr>
      </w:pPr>
      <w:r w:rsidRPr="00B61BBB">
        <w:rPr>
          <w:bCs/>
        </w:rPr>
        <w:t>Ustawa z dnia 21 kwietnia 2011 r. o systemie informacji w ochronie zdrowia (Dz. U. 2017 tj. poz.1845),</w:t>
      </w:r>
    </w:p>
    <w:p w14:paraId="1681055A" w14:textId="710279F2" w:rsidR="00A27E98" w:rsidRPr="00B61BBB" w:rsidRDefault="00A27E98" w:rsidP="00FC0030">
      <w:pPr>
        <w:pStyle w:val="Akapitzlist"/>
        <w:numPr>
          <w:ilvl w:val="0"/>
          <w:numId w:val="20"/>
        </w:numPr>
        <w:rPr>
          <w:bCs/>
        </w:rPr>
      </w:pPr>
      <w:r w:rsidRPr="00B61BBB">
        <w:rPr>
          <w:bCs/>
        </w:rPr>
        <w:t>Pozostałe przepisy regulujące system ochrony danych osobowych, w tym przepisy wydane na podstawie art. 40 RODO.</w:t>
      </w:r>
    </w:p>
    <w:p w14:paraId="4434B166" w14:textId="7BCC6DB1" w:rsidR="004F7D96" w:rsidRDefault="004F7D96" w:rsidP="00C66E5E">
      <w:pPr>
        <w:pStyle w:val="Akapitzlist"/>
        <w:numPr>
          <w:ilvl w:val="0"/>
          <w:numId w:val="3"/>
        </w:numPr>
        <w:rPr>
          <w:bCs/>
        </w:rPr>
      </w:pPr>
      <w:r w:rsidRPr="00C66E5E">
        <w:rPr>
          <w:bCs/>
        </w:rPr>
        <w:t>Administrato</w:t>
      </w:r>
      <w:r w:rsidR="00F9701C" w:rsidRPr="00C66E5E">
        <w:rPr>
          <w:bCs/>
        </w:rPr>
        <w:t>rem danych oso</w:t>
      </w:r>
      <w:r w:rsidR="00AD70C1" w:rsidRPr="00C66E5E">
        <w:rPr>
          <w:bCs/>
        </w:rPr>
        <w:t xml:space="preserve">bowych jest </w:t>
      </w:r>
      <w:r w:rsidR="00C66E5E" w:rsidRPr="00C66E5E">
        <w:rPr>
          <w:bCs/>
          <w:color w:val="000000" w:themeColor="text1"/>
        </w:rPr>
        <w:t xml:space="preserve">Fundacja Domowe Hospicjum Dziecięce </w:t>
      </w:r>
      <w:r w:rsidR="00BC2FBB" w:rsidRPr="00C66E5E">
        <w:rPr>
          <w:bCs/>
          <w:color w:val="000000" w:themeColor="text1"/>
        </w:rPr>
        <w:t>Promyczek</w:t>
      </w:r>
      <w:r w:rsidR="00BC2FBB">
        <w:rPr>
          <w:bCs/>
          <w:color w:val="000000" w:themeColor="text1"/>
        </w:rPr>
        <w:t>. Dane</w:t>
      </w:r>
      <w:r w:rsidR="00F9701C" w:rsidRPr="00C66E5E">
        <w:rPr>
          <w:bCs/>
        </w:rPr>
        <w:t xml:space="preserve"> pacjentów </w:t>
      </w:r>
      <w:r w:rsidR="00BC2FBB">
        <w:rPr>
          <w:bCs/>
        </w:rPr>
        <w:t>Hospicjum</w:t>
      </w:r>
      <w:r w:rsidRPr="00C66E5E">
        <w:rPr>
          <w:bCs/>
        </w:rPr>
        <w:t xml:space="preserve"> są chronione zgodnie z polskim prawem oraz procedurami dotyczącymi bezpieczeństwa i poufności przetwarzanych d</w:t>
      </w:r>
      <w:r w:rsidR="00CB2960" w:rsidRPr="00C66E5E">
        <w:rPr>
          <w:bCs/>
        </w:rPr>
        <w:t>anych.</w:t>
      </w:r>
    </w:p>
    <w:p w14:paraId="6C991250" w14:textId="1C0E54FD" w:rsidR="006F0995" w:rsidRDefault="006F0995" w:rsidP="006F0995">
      <w:pPr>
        <w:pStyle w:val="Akapitzlist"/>
        <w:rPr>
          <w:bCs/>
        </w:rPr>
      </w:pPr>
    </w:p>
    <w:p w14:paraId="1E0514D6" w14:textId="5F8AA0CB" w:rsidR="006F0995" w:rsidRDefault="006F0995" w:rsidP="006F0995">
      <w:pPr>
        <w:jc w:val="center"/>
        <w:rPr>
          <w:b/>
          <w:bCs/>
        </w:rPr>
      </w:pPr>
      <w:r w:rsidRPr="004F122D">
        <w:rPr>
          <w:b/>
          <w:bCs/>
        </w:rPr>
        <w:t>§</w:t>
      </w:r>
      <w:r>
        <w:rPr>
          <w:b/>
          <w:bCs/>
        </w:rPr>
        <w:t>3</w:t>
      </w:r>
    </w:p>
    <w:p w14:paraId="37D223AC" w14:textId="0D70CAFB" w:rsidR="006F0995" w:rsidRDefault="006F0995" w:rsidP="006F0995">
      <w:pPr>
        <w:pStyle w:val="Akapitzlist"/>
        <w:jc w:val="center"/>
        <w:rPr>
          <w:bCs/>
        </w:rPr>
      </w:pPr>
    </w:p>
    <w:p w14:paraId="3B27AED7" w14:textId="4B734242" w:rsidR="006F0995" w:rsidRDefault="006F0995" w:rsidP="006F0995">
      <w:pPr>
        <w:pStyle w:val="Akapitzlist"/>
        <w:rPr>
          <w:bCs/>
        </w:rPr>
      </w:pPr>
    </w:p>
    <w:p w14:paraId="4FF225C6" w14:textId="77777777" w:rsidR="006F0995" w:rsidRPr="006F0995" w:rsidRDefault="006F0995" w:rsidP="006F0995">
      <w:pPr>
        <w:pStyle w:val="Akapitzlist"/>
        <w:rPr>
          <w:bCs/>
        </w:rPr>
      </w:pPr>
      <w:r w:rsidRPr="006F0995">
        <w:rPr>
          <w:bCs/>
        </w:rPr>
        <w:t>Podstawa prawna przetwarzania danych osobowych (RODO)</w:t>
      </w:r>
    </w:p>
    <w:p w14:paraId="179FEBC2" w14:textId="77777777" w:rsidR="006F0995" w:rsidRPr="006F0995" w:rsidRDefault="006F0995" w:rsidP="006F0995">
      <w:pPr>
        <w:pStyle w:val="Akapitzlist"/>
        <w:rPr>
          <w:bCs/>
        </w:rPr>
      </w:pPr>
      <w:r w:rsidRPr="006F0995">
        <w:rPr>
          <w:bCs/>
        </w:rPr>
        <w:t>1. Przetwarzanie danych osobowych użytkowników odbywa się zgodnie z:</w:t>
      </w:r>
    </w:p>
    <w:p w14:paraId="6D24283F" w14:textId="77777777" w:rsidR="006F0995" w:rsidRPr="006F0995" w:rsidRDefault="006F0995" w:rsidP="006F0995">
      <w:pPr>
        <w:pStyle w:val="Akapitzlist"/>
        <w:rPr>
          <w:bCs/>
        </w:rPr>
      </w:pPr>
      <w:r w:rsidRPr="006F0995">
        <w:rPr>
          <w:bCs/>
        </w:rPr>
        <w:t>o art. 6 ust. 1 lit. a) RODO – na podstawie zgody osoby, której dane dotyczą, w</w:t>
      </w:r>
    </w:p>
    <w:p w14:paraId="1F28F0A0" w14:textId="77777777" w:rsidR="006F0995" w:rsidRPr="006F0995" w:rsidRDefault="006F0995" w:rsidP="006F0995">
      <w:pPr>
        <w:pStyle w:val="Akapitzlist"/>
        <w:rPr>
          <w:bCs/>
        </w:rPr>
      </w:pPr>
      <w:r w:rsidRPr="006F0995">
        <w:rPr>
          <w:bCs/>
        </w:rPr>
        <w:t>przypadku wyrażenia zgody na przetwarzanie danych w określonym celu (np.</w:t>
      </w:r>
    </w:p>
    <w:p w14:paraId="00A3E7CC" w14:textId="77777777" w:rsidR="006F0995" w:rsidRPr="006F0995" w:rsidRDefault="006F0995" w:rsidP="006F0995">
      <w:pPr>
        <w:pStyle w:val="Akapitzlist"/>
        <w:rPr>
          <w:bCs/>
        </w:rPr>
      </w:pPr>
      <w:r w:rsidRPr="006F0995">
        <w:rPr>
          <w:bCs/>
        </w:rPr>
        <w:t>zapisanie się na newsletter),</w:t>
      </w:r>
    </w:p>
    <w:p w14:paraId="2B001D08" w14:textId="77777777" w:rsidR="006F0995" w:rsidRPr="006F0995" w:rsidRDefault="006F0995" w:rsidP="006F0995">
      <w:pPr>
        <w:pStyle w:val="Akapitzlist"/>
        <w:rPr>
          <w:bCs/>
        </w:rPr>
      </w:pPr>
      <w:r w:rsidRPr="006F0995">
        <w:rPr>
          <w:bCs/>
        </w:rPr>
        <w:t>o art. 6 ust. 1 lit. b) RODO – w celu wykonania umowy, której stroną jest osoba,</w:t>
      </w:r>
    </w:p>
    <w:p w14:paraId="3E667DEB" w14:textId="77777777" w:rsidR="006F0995" w:rsidRPr="006F0995" w:rsidRDefault="006F0995" w:rsidP="006F0995">
      <w:pPr>
        <w:pStyle w:val="Akapitzlist"/>
        <w:rPr>
          <w:bCs/>
        </w:rPr>
      </w:pPr>
      <w:r w:rsidRPr="006F0995">
        <w:rPr>
          <w:bCs/>
        </w:rPr>
        <w:t>której dane dotyczą, lub podjęcia działań przed zawarciem umowy (np.</w:t>
      </w:r>
    </w:p>
    <w:p w14:paraId="7CF986AF" w14:textId="77777777" w:rsidR="006F0995" w:rsidRPr="006F0995" w:rsidRDefault="006F0995" w:rsidP="006F0995">
      <w:pPr>
        <w:pStyle w:val="Akapitzlist"/>
        <w:rPr>
          <w:bCs/>
        </w:rPr>
      </w:pPr>
      <w:r w:rsidRPr="006F0995">
        <w:rPr>
          <w:bCs/>
        </w:rPr>
        <w:t>realizacja usług świadczonych drogą elektroniczną),</w:t>
      </w:r>
    </w:p>
    <w:p w14:paraId="0BB0D5B9" w14:textId="77777777" w:rsidR="006F0995" w:rsidRPr="006F0995" w:rsidRDefault="006F0995" w:rsidP="006F0995">
      <w:pPr>
        <w:pStyle w:val="Akapitzlist"/>
        <w:rPr>
          <w:bCs/>
        </w:rPr>
      </w:pPr>
      <w:r w:rsidRPr="006F0995">
        <w:rPr>
          <w:bCs/>
        </w:rPr>
        <w:t>o art. 6 ust. 1 lit. c) RODO – w celu wypełnienia obowiązku prawnego ciążącego</w:t>
      </w:r>
    </w:p>
    <w:p w14:paraId="1A03CE49" w14:textId="77777777" w:rsidR="006F0995" w:rsidRPr="006F0995" w:rsidRDefault="006F0995" w:rsidP="006F0995">
      <w:pPr>
        <w:pStyle w:val="Akapitzlist"/>
        <w:rPr>
          <w:bCs/>
        </w:rPr>
      </w:pPr>
      <w:r w:rsidRPr="006F0995">
        <w:rPr>
          <w:bCs/>
        </w:rPr>
        <w:t>na administratorze (np. przechowywanie dokumentacji księgowej),</w:t>
      </w:r>
    </w:p>
    <w:p w14:paraId="1F0D8337" w14:textId="77777777" w:rsidR="006F0995" w:rsidRPr="006F0995" w:rsidRDefault="006F0995" w:rsidP="006F0995">
      <w:pPr>
        <w:pStyle w:val="Akapitzlist"/>
        <w:rPr>
          <w:bCs/>
        </w:rPr>
      </w:pPr>
      <w:r w:rsidRPr="006F0995">
        <w:rPr>
          <w:bCs/>
        </w:rPr>
        <w:t>o art. 6 ust. 1 lit. f) RODO – w prawnie uzasadnionych interesach administratora</w:t>
      </w:r>
    </w:p>
    <w:p w14:paraId="568E584F" w14:textId="13D594DA" w:rsidR="006F0995" w:rsidRDefault="006F0995" w:rsidP="006F0995">
      <w:pPr>
        <w:pStyle w:val="Akapitzlist"/>
        <w:rPr>
          <w:bCs/>
        </w:rPr>
      </w:pPr>
      <w:r w:rsidRPr="006F0995">
        <w:rPr>
          <w:bCs/>
        </w:rPr>
        <w:lastRenderedPageBreak/>
        <w:t>(n</w:t>
      </w:r>
      <w:r>
        <w:rPr>
          <w:bCs/>
        </w:rPr>
        <w:t>p. w celu dochodzenia roszczeń)</w:t>
      </w:r>
    </w:p>
    <w:p w14:paraId="218CA5AE" w14:textId="77777777" w:rsidR="006F0995" w:rsidRPr="006F0995" w:rsidRDefault="006F0995" w:rsidP="006F0995">
      <w:pPr>
        <w:rPr>
          <w:bCs/>
        </w:rPr>
      </w:pPr>
    </w:p>
    <w:p w14:paraId="2FF77CE1" w14:textId="48965FF1" w:rsidR="000973A2" w:rsidRDefault="00F9701C" w:rsidP="002B104A">
      <w:pPr>
        <w:jc w:val="center"/>
        <w:rPr>
          <w:b/>
          <w:bCs/>
        </w:rPr>
      </w:pPr>
      <w:r w:rsidRPr="002B104A">
        <w:rPr>
          <w:b/>
          <w:bCs/>
        </w:rPr>
        <w:t>§</w:t>
      </w:r>
      <w:r w:rsidR="006F0995">
        <w:rPr>
          <w:b/>
          <w:bCs/>
        </w:rPr>
        <w:t>4</w:t>
      </w:r>
    </w:p>
    <w:p w14:paraId="5AB429F3" w14:textId="4D00BA4A" w:rsidR="00F9701C" w:rsidRPr="002B104A" w:rsidRDefault="002B104A" w:rsidP="002B104A">
      <w:pPr>
        <w:jc w:val="center"/>
        <w:rPr>
          <w:b/>
          <w:bCs/>
        </w:rPr>
      </w:pPr>
      <w:r>
        <w:rPr>
          <w:b/>
          <w:bCs/>
        </w:rPr>
        <w:t xml:space="preserve"> Definicje</w:t>
      </w:r>
    </w:p>
    <w:p w14:paraId="0FE85945" w14:textId="082F3E24" w:rsidR="00CA1D39" w:rsidRPr="004009D6" w:rsidRDefault="00CA1D39" w:rsidP="00C66E5E">
      <w:pPr>
        <w:pStyle w:val="Akapitzlist"/>
        <w:numPr>
          <w:ilvl w:val="0"/>
          <w:numId w:val="4"/>
        </w:numPr>
        <w:rPr>
          <w:b/>
          <w:bCs/>
        </w:rPr>
      </w:pPr>
      <w:r w:rsidRPr="004009D6">
        <w:rPr>
          <w:b/>
          <w:bCs/>
        </w:rPr>
        <w:t>Administrator Danych Osobowych</w:t>
      </w:r>
      <w:r w:rsidR="008D6458" w:rsidRPr="004009D6">
        <w:rPr>
          <w:b/>
          <w:bCs/>
        </w:rPr>
        <w:t xml:space="preserve"> (ADO)</w:t>
      </w:r>
      <w:r w:rsidRPr="004009D6">
        <w:rPr>
          <w:bCs/>
        </w:rPr>
        <w:t xml:space="preserve"> </w:t>
      </w:r>
      <w:r w:rsidR="00A86FB9" w:rsidRPr="004009D6">
        <w:rPr>
          <w:bCs/>
        </w:rPr>
        <w:t xml:space="preserve">– rozumie się przez to </w:t>
      </w:r>
      <w:r w:rsidR="00C66E5E" w:rsidRPr="004009D6">
        <w:rPr>
          <w:bCs/>
        </w:rPr>
        <w:t>Fundacj</w:t>
      </w:r>
      <w:r w:rsidR="00300BE6">
        <w:rPr>
          <w:bCs/>
        </w:rPr>
        <w:t>ę</w:t>
      </w:r>
      <w:r w:rsidR="00C66E5E" w:rsidRPr="004009D6">
        <w:rPr>
          <w:bCs/>
        </w:rPr>
        <w:t xml:space="preserve"> Domowe Hospicjum Dziecięce Promyczek z siedzibą</w:t>
      </w:r>
      <w:r w:rsidR="00A67EA0">
        <w:rPr>
          <w:bCs/>
        </w:rPr>
        <w:t xml:space="preserve"> w Otwocku, ul. Narutowicza 80</w:t>
      </w:r>
      <w:r w:rsidR="00C66E5E" w:rsidRPr="004009D6">
        <w:rPr>
          <w:bCs/>
        </w:rPr>
        <w:t>, 05-400 Otwock.</w:t>
      </w:r>
      <w:r w:rsidR="004009D6">
        <w:rPr>
          <w:bCs/>
        </w:rPr>
        <w:t xml:space="preserve"> </w:t>
      </w:r>
    </w:p>
    <w:p w14:paraId="5FB5543A" w14:textId="4CCDAA82" w:rsidR="00CA1D39" w:rsidRPr="002B104A" w:rsidRDefault="00CA1D39" w:rsidP="00FC0030">
      <w:pPr>
        <w:pStyle w:val="Akapitzlist"/>
        <w:numPr>
          <w:ilvl w:val="0"/>
          <w:numId w:val="4"/>
        </w:numPr>
        <w:rPr>
          <w:bCs/>
        </w:rPr>
      </w:pPr>
      <w:r w:rsidRPr="004009D6">
        <w:rPr>
          <w:b/>
          <w:bCs/>
        </w:rPr>
        <w:t>Dane osobowe</w:t>
      </w:r>
      <w:r w:rsidRPr="004009D6">
        <w:rPr>
          <w:bCs/>
        </w:rPr>
        <w:t xml:space="preserve"> – wszelkie informacje dotyczące zidentyfikowanej lub możliwej do zidentyfikowania osoby fizycznej</w:t>
      </w:r>
      <w:r w:rsidRPr="002B104A">
        <w:rPr>
          <w:bCs/>
        </w:rPr>
        <w:t>.</w:t>
      </w:r>
      <w:r w:rsidR="00C42307">
        <w:rPr>
          <w:bCs/>
        </w:rPr>
        <w:t xml:space="preserve"> </w:t>
      </w:r>
      <w:r w:rsidR="00C42307" w:rsidRPr="00C42307">
        <w:rPr>
          <w:bCs/>
        </w:rPr>
        <w:t xml:space="preserve">Dane te mogą dotyczyć </w:t>
      </w:r>
      <w:r w:rsidR="008D6458">
        <w:rPr>
          <w:bCs/>
        </w:rPr>
        <w:t xml:space="preserve">pracowników </w:t>
      </w:r>
      <w:r w:rsidR="001A3A61">
        <w:rPr>
          <w:bCs/>
        </w:rPr>
        <w:t>Hospicjum</w:t>
      </w:r>
      <w:r w:rsidR="008D6458">
        <w:rPr>
          <w:bCs/>
        </w:rPr>
        <w:t xml:space="preserve"> wykonującego działalność leczniczą</w:t>
      </w:r>
      <w:r w:rsidR="00C42307" w:rsidRPr="00C42307">
        <w:rPr>
          <w:bCs/>
        </w:rPr>
        <w:t>, jego pacjentów lub osoby współpr</w:t>
      </w:r>
      <w:r w:rsidR="008D6458">
        <w:rPr>
          <w:bCs/>
        </w:rPr>
        <w:t xml:space="preserve">acujące z </w:t>
      </w:r>
      <w:r w:rsidR="001A3A61">
        <w:rPr>
          <w:bCs/>
        </w:rPr>
        <w:t>Hospicjum.</w:t>
      </w:r>
    </w:p>
    <w:p w14:paraId="4A6D1CB2" w14:textId="22B84A30" w:rsidR="00CA1D39" w:rsidRPr="002B104A" w:rsidRDefault="00CA1D39" w:rsidP="00FC0030">
      <w:pPr>
        <w:pStyle w:val="Akapitzlist"/>
        <w:numPr>
          <w:ilvl w:val="0"/>
          <w:numId w:val="4"/>
        </w:numPr>
        <w:rPr>
          <w:bCs/>
        </w:rPr>
      </w:pPr>
      <w:r w:rsidRPr="00C95396">
        <w:rPr>
          <w:b/>
          <w:bCs/>
        </w:rPr>
        <w:t>Przetwarzanie danych</w:t>
      </w:r>
      <w:r w:rsidRPr="002B104A">
        <w:rPr>
          <w:bCs/>
        </w:rPr>
        <w:t xml:space="preserve"> – jakiekolwiek operacje wykonywane na danych osobowych, takie jak: zbieranie, utrwalanie, przechowywanie, opracowywanie, zmienianie, udostępnianie i usuwanie, a zwłaszcza te, które wykonuje się w systemach informatycznych.</w:t>
      </w:r>
    </w:p>
    <w:p w14:paraId="56F2BA85" w14:textId="1302E530" w:rsidR="00CA1D39" w:rsidRPr="002B104A" w:rsidRDefault="00CA1D39" w:rsidP="00FC0030">
      <w:pPr>
        <w:pStyle w:val="Akapitzlist"/>
        <w:numPr>
          <w:ilvl w:val="0"/>
          <w:numId w:val="4"/>
        </w:numPr>
        <w:rPr>
          <w:bCs/>
        </w:rPr>
      </w:pPr>
      <w:r w:rsidRPr="00C95396">
        <w:rPr>
          <w:b/>
          <w:bCs/>
        </w:rPr>
        <w:t>Zbiór danych</w:t>
      </w:r>
      <w:r w:rsidRPr="002B104A">
        <w:rPr>
          <w:bCs/>
        </w:rPr>
        <w:t xml:space="preserve"> – każdy posiadający strukturę zestaw danych o charakterze osobowym, dostępnych według określonych kryteriów.</w:t>
      </w:r>
    </w:p>
    <w:p w14:paraId="38EA62B3" w14:textId="5192986D" w:rsidR="00CA1D39" w:rsidRPr="002B104A" w:rsidRDefault="006422B3" w:rsidP="00FC0030">
      <w:pPr>
        <w:pStyle w:val="Akapitzlist"/>
        <w:numPr>
          <w:ilvl w:val="0"/>
          <w:numId w:val="4"/>
        </w:numPr>
        <w:rPr>
          <w:bCs/>
        </w:rPr>
      </w:pPr>
      <w:r w:rsidRPr="00C95396">
        <w:rPr>
          <w:b/>
          <w:bCs/>
        </w:rPr>
        <w:t>S</w:t>
      </w:r>
      <w:r w:rsidR="00CA1D39" w:rsidRPr="00C95396">
        <w:rPr>
          <w:b/>
          <w:bCs/>
        </w:rPr>
        <w:t>ystem informatyczny</w:t>
      </w:r>
      <w:r w:rsidR="00CA1D39" w:rsidRPr="002B104A">
        <w:rPr>
          <w:bCs/>
        </w:rPr>
        <w:t xml:space="preserve"> – zespół współpracujących ze sobą urządzeń, programów, procedur przetwarzania informacji i narzędzi programowych zastosowanych w celu przetwarzania danych.</w:t>
      </w:r>
    </w:p>
    <w:p w14:paraId="12D93377" w14:textId="7FEE8029" w:rsidR="00CA1D39" w:rsidRPr="002B104A" w:rsidRDefault="00CA1D39" w:rsidP="00FC0030">
      <w:pPr>
        <w:pStyle w:val="Akapitzlist"/>
        <w:numPr>
          <w:ilvl w:val="0"/>
          <w:numId w:val="4"/>
        </w:numPr>
        <w:rPr>
          <w:bCs/>
        </w:rPr>
      </w:pPr>
      <w:r w:rsidRPr="00C95396">
        <w:rPr>
          <w:b/>
          <w:bCs/>
        </w:rPr>
        <w:t>Identyfikator użytkownika</w:t>
      </w:r>
      <w:r w:rsidRPr="002B104A">
        <w:rPr>
          <w:bCs/>
        </w:rPr>
        <w:t xml:space="preserve"> (login) – ciąg znaków literowych, cyfrowych lub innych, jednoznacznie identyfikujący osobę upoważnioną do przetwarzania danych osobowych w systemie informatycznym.</w:t>
      </w:r>
    </w:p>
    <w:p w14:paraId="319805D1" w14:textId="7BB79AAE" w:rsidR="00CA1D39" w:rsidRPr="00C84829" w:rsidRDefault="00CA1D39" w:rsidP="00FC0030">
      <w:pPr>
        <w:pStyle w:val="Akapitzlist"/>
        <w:numPr>
          <w:ilvl w:val="0"/>
          <w:numId w:val="4"/>
        </w:numPr>
        <w:rPr>
          <w:bCs/>
        </w:rPr>
      </w:pPr>
      <w:r w:rsidRPr="00C95396">
        <w:rPr>
          <w:b/>
          <w:bCs/>
        </w:rPr>
        <w:t>Hasło</w:t>
      </w:r>
      <w:r w:rsidRPr="00C84829">
        <w:rPr>
          <w:bCs/>
        </w:rPr>
        <w:t xml:space="preserve"> – ciąg znaków literowych, cyfrowych lub innych, przypisany do identyfikatora użytkownika, znany jedynie osobie uprawnionej do pracy w systemie informatycznym.</w:t>
      </w:r>
    </w:p>
    <w:p w14:paraId="3023F580" w14:textId="4DB5F3BB" w:rsidR="00CA1D39" w:rsidRPr="00C84829" w:rsidRDefault="00CA1D39" w:rsidP="00FC0030">
      <w:pPr>
        <w:pStyle w:val="Akapitzlist"/>
        <w:numPr>
          <w:ilvl w:val="0"/>
          <w:numId w:val="4"/>
        </w:numPr>
        <w:rPr>
          <w:bCs/>
        </w:rPr>
      </w:pPr>
      <w:r w:rsidRPr="00C95396">
        <w:rPr>
          <w:b/>
          <w:bCs/>
        </w:rPr>
        <w:t>Uwierzytelnianie</w:t>
      </w:r>
      <w:r w:rsidRPr="00C84829">
        <w:rPr>
          <w:bCs/>
        </w:rPr>
        <w:t xml:space="preserve"> – działanie, którego celem jest weryfikacja deklarowanej tożsamości podmiotu.</w:t>
      </w:r>
    </w:p>
    <w:p w14:paraId="6E8DE96B" w14:textId="585423C6" w:rsidR="00CA1D39" w:rsidRPr="00C84829" w:rsidRDefault="00CA1D39" w:rsidP="00FC0030">
      <w:pPr>
        <w:pStyle w:val="Akapitzlist"/>
        <w:numPr>
          <w:ilvl w:val="0"/>
          <w:numId w:val="4"/>
        </w:numPr>
        <w:rPr>
          <w:bCs/>
        </w:rPr>
      </w:pPr>
      <w:r w:rsidRPr="00C95396">
        <w:rPr>
          <w:b/>
          <w:bCs/>
        </w:rPr>
        <w:t>Integralność danych</w:t>
      </w:r>
      <w:r w:rsidRPr="00C84829">
        <w:rPr>
          <w:bCs/>
        </w:rPr>
        <w:t xml:space="preserve"> – funkcjonalność zapewniającą, że dane osobowe nie zostały zmienione lub zniszczone w sposób nieautoryzowany.</w:t>
      </w:r>
    </w:p>
    <w:p w14:paraId="71CD7CE1" w14:textId="2EED50C7" w:rsidR="00CA1D39" w:rsidRDefault="00CA1D39" w:rsidP="00FC0030">
      <w:pPr>
        <w:pStyle w:val="Akapitzlist"/>
        <w:numPr>
          <w:ilvl w:val="0"/>
          <w:numId w:val="4"/>
        </w:numPr>
        <w:rPr>
          <w:bCs/>
        </w:rPr>
      </w:pPr>
      <w:r w:rsidRPr="00C95396">
        <w:rPr>
          <w:b/>
          <w:bCs/>
        </w:rPr>
        <w:t>Poufność danych</w:t>
      </w:r>
      <w:r w:rsidRPr="00C84829">
        <w:rPr>
          <w:bCs/>
        </w:rPr>
        <w:t xml:space="preserve"> – funkcjonalność zapewniającą, że dane nie są udostępniane nieupoważnionym podmiotom.</w:t>
      </w:r>
    </w:p>
    <w:p w14:paraId="7E3D84BE" w14:textId="1EBE6DC1" w:rsidR="00C84829" w:rsidRDefault="00D719F0" w:rsidP="00FC0030">
      <w:pPr>
        <w:pStyle w:val="Akapitzlist"/>
        <w:numPr>
          <w:ilvl w:val="0"/>
          <w:numId w:val="4"/>
        </w:numPr>
        <w:rPr>
          <w:bCs/>
        </w:rPr>
      </w:pPr>
      <w:r>
        <w:rPr>
          <w:b/>
          <w:bCs/>
        </w:rPr>
        <w:t>Rozporządzenie</w:t>
      </w:r>
      <w:r w:rsidR="00744C07">
        <w:rPr>
          <w:b/>
          <w:bCs/>
        </w:rPr>
        <w:t xml:space="preserve"> (RODO)</w:t>
      </w:r>
      <w:r w:rsidR="00C84829" w:rsidRPr="00C95396">
        <w:rPr>
          <w:b/>
          <w:bCs/>
        </w:rPr>
        <w:t xml:space="preserve"> </w:t>
      </w:r>
      <w:r w:rsidR="00C84829" w:rsidRPr="00C84829">
        <w:rPr>
          <w:bCs/>
        </w:rPr>
        <w:t>–</w:t>
      </w:r>
      <w:r w:rsidR="00744C07">
        <w:rPr>
          <w:bCs/>
        </w:rPr>
        <w:t xml:space="preserve"> </w:t>
      </w:r>
      <w:r w:rsidR="00744C07" w:rsidRPr="00744C07">
        <w:rPr>
          <w:bCs/>
        </w:rPr>
        <w:t>Rozporządzenie Parlamentu Europejskiego i Rady (UE) z dnia 27 kwietnia 2016 r. w sprawie ochrony osób fizycznych w związku z przetwarzaniem danych osobowych i w sprawie swobodnego przepływu takich danych oraz uchylenia dyrektywy 95/46/WE (ogólne ro</w:t>
      </w:r>
      <w:r w:rsidR="00744C07">
        <w:rPr>
          <w:bCs/>
        </w:rPr>
        <w:t>zporządzenie o ochronie danych).</w:t>
      </w:r>
    </w:p>
    <w:p w14:paraId="0A854255" w14:textId="77777777" w:rsidR="006D3493" w:rsidRPr="00C84829" w:rsidRDefault="006D3493" w:rsidP="006D3493">
      <w:pPr>
        <w:pStyle w:val="Akapitzlist"/>
        <w:rPr>
          <w:bCs/>
        </w:rPr>
      </w:pPr>
    </w:p>
    <w:p w14:paraId="463F81A8" w14:textId="05CB8AC8" w:rsidR="000973A2" w:rsidRDefault="006F0995" w:rsidP="00C95396">
      <w:pPr>
        <w:jc w:val="center"/>
        <w:rPr>
          <w:b/>
        </w:rPr>
      </w:pPr>
      <w:bookmarkStart w:id="2" w:name="_Toc323809769"/>
      <w:r>
        <w:rPr>
          <w:b/>
        </w:rPr>
        <w:t>§5</w:t>
      </w:r>
    </w:p>
    <w:p w14:paraId="08607806" w14:textId="447E8EF7" w:rsidR="00B662C7" w:rsidRPr="00C95396" w:rsidRDefault="00C95396" w:rsidP="00C95396">
      <w:pPr>
        <w:jc w:val="center"/>
        <w:rPr>
          <w:b/>
        </w:rPr>
      </w:pPr>
      <w:r w:rsidRPr="00C95396">
        <w:rPr>
          <w:b/>
        </w:rPr>
        <w:t xml:space="preserve"> </w:t>
      </w:r>
      <w:r w:rsidR="00B662C7" w:rsidRPr="00C95396">
        <w:rPr>
          <w:b/>
        </w:rPr>
        <w:t>Deklaracja</w:t>
      </w:r>
      <w:bookmarkEnd w:id="2"/>
    </w:p>
    <w:p w14:paraId="77E928E3" w14:textId="6FEC4411" w:rsidR="00B662C7" w:rsidRDefault="00B662C7" w:rsidP="00FC0030">
      <w:pPr>
        <w:pStyle w:val="Akapitzlist"/>
        <w:numPr>
          <w:ilvl w:val="0"/>
          <w:numId w:val="5"/>
        </w:numPr>
      </w:pPr>
      <w:r w:rsidRPr="00C95396">
        <w:t xml:space="preserve">Administrator danych mając świadomość, iż przetwarza dane </w:t>
      </w:r>
      <w:r w:rsidRPr="00C95396">
        <w:rPr>
          <w:bCs/>
        </w:rPr>
        <w:t>wrażliwe</w:t>
      </w:r>
      <w:r w:rsidRPr="00C95396">
        <w:t xml:space="preserve"> pacjentów deklaruje dołożyć wszelkich starań, aby przetwarzanie odbywało się w zgodności z przepisami prawa. </w:t>
      </w:r>
    </w:p>
    <w:p w14:paraId="55FC4087" w14:textId="748391F2" w:rsidR="00B61BBB" w:rsidRPr="00C95396" w:rsidRDefault="00B61BBB" w:rsidP="00FC0030">
      <w:pPr>
        <w:pStyle w:val="Akapitzlist"/>
        <w:numPr>
          <w:ilvl w:val="0"/>
          <w:numId w:val="5"/>
        </w:numPr>
      </w:pPr>
      <w:r w:rsidRPr="00B61BBB">
        <w:t xml:space="preserve">Administrator deklaruje, że proces przetwarzania danych osobowych uwzględnia zasady, o których mowa w Motywie 39 RODO oraz artykule 5 ust. 1 </w:t>
      </w:r>
      <w:proofErr w:type="spellStart"/>
      <w:r w:rsidRPr="00B61BBB">
        <w:t>ppkt</w:t>
      </w:r>
      <w:proofErr w:type="spellEnd"/>
      <w:r w:rsidRPr="00B61BBB">
        <w:t xml:space="preserve"> a) – e) RODO.</w:t>
      </w:r>
    </w:p>
    <w:p w14:paraId="2820AC08" w14:textId="6D21F619" w:rsidR="00B662C7" w:rsidRPr="00B662C7" w:rsidRDefault="002814AB" w:rsidP="00FC0030">
      <w:pPr>
        <w:pStyle w:val="Akapitzlist"/>
        <w:numPr>
          <w:ilvl w:val="0"/>
          <w:numId w:val="5"/>
        </w:numPr>
      </w:pPr>
      <w:r>
        <w:t>K</w:t>
      </w:r>
      <w:r w:rsidR="00B662C7" w:rsidRPr="00B662C7">
        <w:t>ażdy pracownik upoważniony do przet</w:t>
      </w:r>
      <w:r>
        <w:t>warzania danych, świadomy</w:t>
      </w:r>
      <w:r w:rsidR="00B662C7" w:rsidRPr="00B662C7">
        <w:t xml:space="preserve"> odpowiedzialności, </w:t>
      </w:r>
      <w:r>
        <w:t xml:space="preserve">zobowiązany jest </w:t>
      </w:r>
      <w:r w:rsidR="00DF5F7A">
        <w:t>postępować</w:t>
      </w:r>
      <w:r w:rsidR="00B662C7" w:rsidRPr="00B662C7">
        <w:t xml:space="preserve"> zgodnie z przyjętymi zasadami i minima</w:t>
      </w:r>
      <w:r w:rsidR="00DF5F7A">
        <w:t>lizować</w:t>
      </w:r>
      <w:r w:rsidR="00B662C7" w:rsidRPr="00B662C7">
        <w:t xml:space="preserve"> zagrożenia wynikające z błędów ludzkich.</w:t>
      </w:r>
    </w:p>
    <w:p w14:paraId="08746C93" w14:textId="3ED6815B" w:rsidR="00B662C7" w:rsidRDefault="00B662C7" w:rsidP="00FC0030">
      <w:pPr>
        <w:pStyle w:val="Akapitzlist"/>
        <w:numPr>
          <w:ilvl w:val="0"/>
          <w:numId w:val="5"/>
        </w:numPr>
      </w:pPr>
      <w:r w:rsidRPr="00B662C7">
        <w:lastRenderedPageBreak/>
        <w:t>W trosce o czytelny i uporządkowany stan materii, wprowadza się stosowne środki organizacyjne i techniczne zapewniające właściwą ochronę danych oraz nakazuje ich bezwzględne stosowanie, zwłaszcza przez osoby dopuszczone do przetwarzania danych.</w:t>
      </w:r>
    </w:p>
    <w:p w14:paraId="3F587FC9" w14:textId="07F36FBA" w:rsidR="00A60354" w:rsidRPr="00A60354" w:rsidRDefault="00D356D4" w:rsidP="00FC0030">
      <w:pPr>
        <w:pStyle w:val="Akapitzlist"/>
        <w:numPr>
          <w:ilvl w:val="0"/>
          <w:numId w:val="5"/>
        </w:numPr>
        <w:rPr>
          <w:color w:val="FF0000"/>
        </w:rPr>
      </w:pPr>
      <w:r>
        <w:t xml:space="preserve">Dane osobowe w podmiocie </w:t>
      </w:r>
      <w:r w:rsidR="00B57015">
        <w:t xml:space="preserve">przetwarzane są w sposób legalny, na podstawie art. 6 ust. 1 </w:t>
      </w:r>
      <w:proofErr w:type="spellStart"/>
      <w:r w:rsidR="00B57015">
        <w:t>ppkt</w:t>
      </w:r>
      <w:proofErr w:type="spellEnd"/>
      <w:r w:rsidR="00B57015">
        <w:t xml:space="preserve"> a) i</w:t>
      </w:r>
      <w:r w:rsidR="00855741">
        <w:t>- d)</w:t>
      </w:r>
      <w:r w:rsidR="00B57015">
        <w:t xml:space="preserve">oraz art. 9 ust. 2 </w:t>
      </w:r>
      <w:proofErr w:type="spellStart"/>
      <w:r w:rsidR="00B57015">
        <w:t>ppkt</w:t>
      </w:r>
      <w:proofErr w:type="spellEnd"/>
      <w:r w:rsidR="00B57015">
        <w:t xml:space="preserve"> h) RODO w związku z art. 3 ust. 1 i 2 ustawy o działalności leczniczej oraz art. 24 ustawy o prawach pacjenta i Rzeczniku Praw Pacjenta, a także w związku z art. 54 ustawy o świadczeniach pieniężnych z ubezpieczenia społecznego w razie choroby i macierzyństwa lub innych właściwych przepisów z zakresu prawa ubezpieczeń społecznych. </w:t>
      </w:r>
    </w:p>
    <w:p w14:paraId="3A993517" w14:textId="13DF7A78" w:rsidR="00B57015" w:rsidRPr="003C74A9" w:rsidRDefault="00B57015" w:rsidP="003C74A9">
      <w:pPr>
        <w:pStyle w:val="Akapitzlist"/>
        <w:numPr>
          <w:ilvl w:val="0"/>
          <w:numId w:val="5"/>
        </w:numPr>
      </w:pPr>
      <w:r w:rsidRPr="003C74A9">
        <w:t>W przypadku konieczności pozyskania zgody na przetwarzanie da</w:t>
      </w:r>
      <w:r w:rsidR="00824E25" w:rsidRPr="003C74A9">
        <w:t xml:space="preserve">nych osobowych podmiot </w:t>
      </w:r>
      <w:r w:rsidRPr="003C74A9">
        <w:t xml:space="preserve">korzysta z </w:t>
      </w:r>
      <w:r w:rsidR="00A8379E" w:rsidRPr="003C74A9">
        <w:t xml:space="preserve">szablonu, którego wzór stanowi Załącznik nr </w:t>
      </w:r>
      <w:r w:rsidR="00E31CBC" w:rsidRPr="003C74A9">
        <w:t>8</w:t>
      </w:r>
      <w:r w:rsidRPr="003C74A9">
        <w:t>. Zgoda na przetwarzanie danych osobowych może zostać pozyskana w inny sposób, ale musi ona spełniać przesłanki, o kt</w:t>
      </w:r>
      <w:r w:rsidR="001E17B9" w:rsidRPr="003C74A9">
        <w:t>órych mowa w art. 7 ust. 1 RODO.</w:t>
      </w:r>
    </w:p>
    <w:p w14:paraId="04B94895" w14:textId="009054D7" w:rsidR="00B57015" w:rsidRDefault="00DE3328" w:rsidP="00FC0030">
      <w:pPr>
        <w:pStyle w:val="Akapitzlist"/>
        <w:numPr>
          <w:ilvl w:val="0"/>
          <w:numId w:val="5"/>
        </w:numPr>
      </w:pPr>
      <w:r>
        <w:t>Z</w:t>
      </w:r>
      <w:r w:rsidR="00B57015">
        <w:t xml:space="preserve">akres pozyskiwanych danych </w:t>
      </w:r>
      <w:bookmarkStart w:id="3" w:name="_Hlk512494045"/>
      <w:r w:rsidR="00B57015">
        <w:t xml:space="preserve">wynika z przepisów prawa, </w:t>
      </w:r>
      <w:r>
        <w:t xml:space="preserve">o których mowa w §2 </w:t>
      </w:r>
      <w:r w:rsidR="00B57015">
        <w:t>niniejszego dokumentu</w:t>
      </w:r>
      <w:bookmarkEnd w:id="3"/>
      <w:r w:rsidR="00B57015">
        <w:t xml:space="preserve"> i jest adekwatny do zde</w:t>
      </w:r>
      <w:r w:rsidR="00DA0F94">
        <w:t>finiowanych celów przetwarzania.</w:t>
      </w:r>
    </w:p>
    <w:p w14:paraId="7F684B28" w14:textId="13BFE112" w:rsidR="000A1229" w:rsidRPr="00B662C7" w:rsidRDefault="00DA0F94" w:rsidP="000A1229">
      <w:pPr>
        <w:pStyle w:val="Akapitzlist"/>
        <w:numPr>
          <w:ilvl w:val="0"/>
          <w:numId w:val="5"/>
        </w:numPr>
      </w:pPr>
      <w:r>
        <w:t xml:space="preserve">Okres </w:t>
      </w:r>
      <w:r w:rsidR="00B57015">
        <w:t>czas</w:t>
      </w:r>
      <w:r>
        <w:t>u,</w:t>
      </w:r>
      <w:r w:rsidR="00B57015">
        <w:t xml:space="preserve"> przez jaki dane</w:t>
      </w:r>
      <w:r>
        <w:t xml:space="preserve"> osobowe</w:t>
      </w:r>
      <w:r w:rsidR="00B57015">
        <w:t xml:space="preserve"> są przetwarzane</w:t>
      </w:r>
      <w:r>
        <w:t xml:space="preserve"> </w:t>
      </w:r>
      <w:r w:rsidRPr="00DA0F94">
        <w:t>wynika z przepisów prawa, o których mowa w §2 niniejszego dokumentu</w:t>
      </w:r>
      <w:r>
        <w:t>.</w:t>
      </w:r>
      <w:r w:rsidR="0052450B">
        <w:t xml:space="preserve"> </w:t>
      </w:r>
      <w:r w:rsidR="0052450B" w:rsidRPr="0052450B">
        <w:t>Terminy przechowywania dokument</w:t>
      </w:r>
      <w:r w:rsidR="0052450B">
        <w:t>acji medycznej określa art. 29 U</w:t>
      </w:r>
      <w:r w:rsidR="0052450B" w:rsidRPr="0052450B">
        <w:t>stawy o prawach pacjenta i Rzeczniku Praw Pacjenta</w:t>
      </w:r>
      <w:r w:rsidR="00321D10">
        <w:t>.</w:t>
      </w:r>
    </w:p>
    <w:p w14:paraId="757609AF" w14:textId="77777777" w:rsidR="00B662C7" w:rsidRPr="00B662C7" w:rsidRDefault="00B662C7" w:rsidP="00B662C7"/>
    <w:p w14:paraId="659CD7F3" w14:textId="39AE3A3E" w:rsidR="000973A2" w:rsidRDefault="006F0995" w:rsidP="00DF5F7A">
      <w:pPr>
        <w:jc w:val="center"/>
        <w:rPr>
          <w:b/>
        </w:rPr>
      </w:pPr>
      <w:bookmarkStart w:id="4" w:name="_Toc323809771"/>
      <w:r>
        <w:rPr>
          <w:b/>
        </w:rPr>
        <w:t>§6</w:t>
      </w:r>
    </w:p>
    <w:p w14:paraId="4E90F6E6" w14:textId="0D5DE167" w:rsidR="00B662C7" w:rsidRDefault="00B662C7" w:rsidP="00DF5F7A">
      <w:pPr>
        <w:jc w:val="center"/>
        <w:rPr>
          <w:b/>
        </w:rPr>
      </w:pPr>
      <w:r w:rsidRPr="00DF5F7A">
        <w:rPr>
          <w:b/>
        </w:rPr>
        <w:t>Wykaz zbiorów osobowych</w:t>
      </w:r>
      <w:bookmarkEnd w:id="4"/>
    </w:p>
    <w:p w14:paraId="29B3A750" w14:textId="0F91A9A3" w:rsidR="00DC11D9" w:rsidRDefault="00DC11D9" w:rsidP="0084181E">
      <w:pPr>
        <w:pStyle w:val="Akapitzlist"/>
        <w:numPr>
          <w:ilvl w:val="0"/>
          <w:numId w:val="21"/>
        </w:numPr>
      </w:pPr>
      <w:r w:rsidRPr="00DC11D9">
        <w:t>Dan</w:t>
      </w:r>
      <w:r>
        <w:t>e osobowe przetwarzane przez ADO</w:t>
      </w:r>
      <w:r w:rsidRPr="00DC11D9">
        <w:t xml:space="preserve"> </w:t>
      </w:r>
      <w:r w:rsidR="000A1229">
        <w:t xml:space="preserve">łączone </w:t>
      </w:r>
      <w:r w:rsidRPr="00DC11D9">
        <w:t xml:space="preserve"> są w </w:t>
      </w:r>
      <w:r w:rsidR="00DD50F7">
        <w:t>zbiory</w:t>
      </w:r>
      <w:r w:rsidR="00E350F4">
        <w:t>,</w:t>
      </w:r>
      <w:r w:rsidRPr="00DC11D9">
        <w:t xml:space="preserve"> za pomocą których Administrator może ocenić ryzyko ich przetwarzania oraz ocenić konieczność przeprowadzenia procedury oceny skutków dla systemu ochrony danyc</w:t>
      </w:r>
      <w:r>
        <w:t>h, o którym mowa w art. 35 RODO.</w:t>
      </w:r>
    </w:p>
    <w:p w14:paraId="467EAA24" w14:textId="1D28E740" w:rsidR="00E350F4" w:rsidRDefault="00E350F4" w:rsidP="00FC0030">
      <w:pPr>
        <w:pStyle w:val="Akapitzlist"/>
        <w:numPr>
          <w:ilvl w:val="0"/>
          <w:numId w:val="21"/>
        </w:numPr>
        <w:jc w:val="left"/>
      </w:pPr>
      <w:r>
        <w:t>Zbiory danych osobowych opisane są z uwzględnieniem poniższych informacji:</w:t>
      </w:r>
    </w:p>
    <w:p w14:paraId="39A09CC4" w14:textId="413889D5" w:rsidR="00E350F4" w:rsidRDefault="00E350F4" w:rsidP="00FC0030">
      <w:pPr>
        <w:pStyle w:val="Akapitzlist"/>
        <w:numPr>
          <w:ilvl w:val="0"/>
          <w:numId w:val="22"/>
        </w:numPr>
        <w:jc w:val="left"/>
      </w:pPr>
      <w:r>
        <w:t>Nazwa zbioru,</w:t>
      </w:r>
      <w:r w:rsidRPr="00E350F4">
        <w:tab/>
      </w:r>
    </w:p>
    <w:p w14:paraId="7438A7A1" w14:textId="22895A4F" w:rsidR="00E350F4" w:rsidRDefault="00E350F4" w:rsidP="00FC0030">
      <w:pPr>
        <w:pStyle w:val="Akapitzlist"/>
        <w:numPr>
          <w:ilvl w:val="0"/>
          <w:numId w:val="22"/>
        </w:numPr>
        <w:jc w:val="left"/>
      </w:pPr>
      <w:r>
        <w:t>Rodzaj pomieszczenia, gdzie przetwarzany jest zbiór,</w:t>
      </w:r>
      <w:r w:rsidRPr="00E350F4">
        <w:tab/>
      </w:r>
    </w:p>
    <w:p w14:paraId="27E7CE84" w14:textId="0F394227" w:rsidR="00E350F4" w:rsidRDefault="00E350F4" w:rsidP="00FC0030">
      <w:pPr>
        <w:pStyle w:val="Akapitzlist"/>
        <w:numPr>
          <w:ilvl w:val="0"/>
          <w:numId w:val="22"/>
        </w:numPr>
        <w:jc w:val="left"/>
      </w:pPr>
      <w:r>
        <w:t>Piętro i nr pomieszczenia,</w:t>
      </w:r>
    </w:p>
    <w:p w14:paraId="72B89554" w14:textId="288A1AC0" w:rsidR="00E350F4" w:rsidRDefault="00E350F4" w:rsidP="00FC0030">
      <w:pPr>
        <w:pStyle w:val="Akapitzlist"/>
        <w:numPr>
          <w:ilvl w:val="0"/>
          <w:numId w:val="22"/>
        </w:numPr>
        <w:jc w:val="left"/>
      </w:pPr>
      <w:r>
        <w:t>Miejsce składowania danych,</w:t>
      </w:r>
      <w:r w:rsidRPr="00E350F4">
        <w:tab/>
      </w:r>
    </w:p>
    <w:p w14:paraId="4141B224" w14:textId="2148D5B8" w:rsidR="00E350F4" w:rsidRDefault="00A50A96" w:rsidP="00FC0030">
      <w:pPr>
        <w:pStyle w:val="Akapitzlist"/>
        <w:numPr>
          <w:ilvl w:val="0"/>
          <w:numId w:val="22"/>
        </w:numPr>
        <w:jc w:val="left"/>
      </w:pPr>
      <w:r>
        <w:t xml:space="preserve">Źródło </w:t>
      </w:r>
      <w:r w:rsidR="00FB3594">
        <w:t>pozyskiwania danych</w:t>
      </w:r>
      <w:r w:rsidR="003E37B1">
        <w:t>,</w:t>
      </w:r>
      <w:r w:rsidR="00E350F4" w:rsidRPr="00E350F4">
        <w:tab/>
      </w:r>
    </w:p>
    <w:p w14:paraId="0C46BF46" w14:textId="0ABC8B2E" w:rsidR="00C42307" w:rsidRPr="00CB6CF7" w:rsidRDefault="003E37B1" w:rsidP="00C42307">
      <w:pPr>
        <w:pStyle w:val="Akapitzlist"/>
        <w:numPr>
          <w:ilvl w:val="0"/>
          <w:numId w:val="22"/>
        </w:numPr>
        <w:jc w:val="left"/>
      </w:pPr>
      <w:r>
        <w:t>Programy, aplikacje służące do przetwarzania danych i spos</w:t>
      </w:r>
      <w:r w:rsidR="00B53187">
        <w:t>ób przepływu danych między nimi.</w:t>
      </w:r>
    </w:p>
    <w:p w14:paraId="4AFF9044" w14:textId="49E8F08C" w:rsidR="000973A2" w:rsidRDefault="006F0995" w:rsidP="001A790A">
      <w:pPr>
        <w:jc w:val="center"/>
        <w:rPr>
          <w:b/>
        </w:rPr>
      </w:pPr>
      <w:bookmarkStart w:id="5" w:name="_Toc323809772"/>
      <w:r>
        <w:rPr>
          <w:b/>
        </w:rPr>
        <w:t>§7</w:t>
      </w:r>
    </w:p>
    <w:p w14:paraId="6449A0CA" w14:textId="4D157392" w:rsidR="00B662C7" w:rsidRPr="001A790A" w:rsidRDefault="00DF5F7A" w:rsidP="001A790A">
      <w:pPr>
        <w:jc w:val="center"/>
        <w:rPr>
          <w:b/>
        </w:rPr>
      </w:pPr>
      <w:r w:rsidRPr="00DF5F7A">
        <w:rPr>
          <w:b/>
        </w:rPr>
        <w:t xml:space="preserve"> </w:t>
      </w:r>
      <w:r w:rsidR="00B662C7" w:rsidRPr="00DF5F7A">
        <w:rPr>
          <w:b/>
        </w:rPr>
        <w:t>Wykaz miejsc przetwarzania</w:t>
      </w:r>
      <w:bookmarkEnd w:id="5"/>
    </w:p>
    <w:p w14:paraId="77AA4A75" w14:textId="0841668B" w:rsidR="00B662C7" w:rsidRPr="00974FA6" w:rsidRDefault="00B662C7" w:rsidP="00FC0030">
      <w:pPr>
        <w:pStyle w:val="Akapitzlist"/>
        <w:numPr>
          <w:ilvl w:val="0"/>
          <w:numId w:val="6"/>
        </w:numPr>
      </w:pPr>
      <w:r w:rsidRPr="00974FA6">
        <w:t>Obszarem przetwarzania danych są wszystkie pomieszcze</w:t>
      </w:r>
      <w:r w:rsidR="00DF5F7A" w:rsidRPr="00974FA6">
        <w:t xml:space="preserve">nia, korytarze oraz obszar </w:t>
      </w:r>
      <w:r w:rsidR="000A1229">
        <w:t>wykonywanych świadczeń podczas wizyty domowej u Pacjenta</w:t>
      </w:r>
      <w:r w:rsidR="00DF5F7A" w:rsidRPr="00974FA6">
        <w:t>.</w:t>
      </w:r>
    </w:p>
    <w:p w14:paraId="0FA00C96" w14:textId="7D2E2D88" w:rsidR="00B662C7" w:rsidRDefault="00B662C7" w:rsidP="00FC0030">
      <w:pPr>
        <w:pStyle w:val="Akapitzlist"/>
        <w:numPr>
          <w:ilvl w:val="0"/>
          <w:numId w:val="6"/>
        </w:numPr>
      </w:pPr>
      <w:r w:rsidRPr="00DF5F7A">
        <w:t xml:space="preserve">Szczegółowy </w:t>
      </w:r>
      <w:r w:rsidRPr="00FB3594">
        <w:t>wykaz pomieszczeń</w:t>
      </w:r>
      <w:r w:rsidR="00A50A96" w:rsidRPr="00FB3594">
        <w:t xml:space="preserve"> </w:t>
      </w:r>
      <w:r w:rsidRPr="00FB3594">
        <w:t xml:space="preserve">w których przetwarzane są dane osobowe, stanowi </w:t>
      </w:r>
      <w:r w:rsidRPr="00FB3594">
        <w:rPr>
          <w:bCs/>
        </w:rPr>
        <w:t>załącznik nr 2</w:t>
      </w:r>
      <w:r w:rsidRPr="00DF5F7A">
        <w:t xml:space="preserve"> do niniejszej dokumentacji. Dla pomieszczeń, w których dane są gromadzone opisano zastosowane środki ochrony technicznej.</w:t>
      </w:r>
    </w:p>
    <w:p w14:paraId="384069CE" w14:textId="467CD9F9" w:rsidR="00426B4F" w:rsidRDefault="00426B4F" w:rsidP="00426B4F"/>
    <w:p w14:paraId="3EC2EF1D" w14:textId="575BF437" w:rsidR="006F0995" w:rsidRDefault="006F0995" w:rsidP="00426B4F"/>
    <w:p w14:paraId="7DB4C329" w14:textId="1AAFEC4A" w:rsidR="006F0995" w:rsidRDefault="006F0995" w:rsidP="00426B4F"/>
    <w:p w14:paraId="6A08980A" w14:textId="77777777" w:rsidR="006F0995" w:rsidRDefault="006F0995" w:rsidP="00426B4F"/>
    <w:p w14:paraId="5C030E8A" w14:textId="29A9ACB8" w:rsidR="000973A2" w:rsidRDefault="006F0995" w:rsidP="00D02041">
      <w:pPr>
        <w:jc w:val="center"/>
        <w:rPr>
          <w:b/>
        </w:rPr>
      </w:pPr>
      <w:r>
        <w:rPr>
          <w:b/>
        </w:rPr>
        <w:lastRenderedPageBreak/>
        <w:t>§8</w:t>
      </w:r>
    </w:p>
    <w:p w14:paraId="6D53E4C9" w14:textId="77777777" w:rsidR="006F0995" w:rsidRDefault="006F0995" w:rsidP="00D02041">
      <w:pPr>
        <w:jc w:val="center"/>
        <w:rPr>
          <w:b/>
        </w:rPr>
      </w:pPr>
    </w:p>
    <w:p w14:paraId="28D3F09C" w14:textId="494E4D94" w:rsidR="00426B4F" w:rsidRPr="00426B4F" w:rsidRDefault="00A60354" w:rsidP="00D02041">
      <w:pPr>
        <w:jc w:val="center"/>
        <w:rPr>
          <w:b/>
        </w:rPr>
      </w:pPr>
      <w:r>
        <w:rPr>
          <w:b/>
        </w:rPr>
        <w:t xml:space="preserve"> </w:t>
      </w:r>
      <w:r w:rsidR="00426B4F" w:rsidRPr="00426B4F">
        <w:rPr>
          <w:b/>
        </w:rPr>
        <w:t>Rejestr czynności przetwarzania</w:t>
      </w:r>
    </w:p>
    <w:p w14:paraId="65C25A79" w14:textId="77777777" w:rsidR="00426B4F" w:rsidRPr="00426B4F" w:rsidRDefault="00426B4F" w:rsidP="00FC0030">
      <w:pPr>
        <w:numPr>
          <w:ilvl w:val="0"/>
          <w:numId w:val="24"/>
        </w:numPr>
      </w:pPr>
      <w:r w:rsidRPr="00426B4F">
        <w:t xml:space="preserve">Dla zbiorów, w których przetwarzane są dane, o których mowa w art. 9 ust. 1 RODO prowadzony jest rejestr czynności przetwarzania. </w:t>
      </w:r>
    </w:p>
    <w:p w14:paraId="6C15D0EF" w14:textId="0CEE3BA2" w:rsidR="00426B4F" w:rsidRPr="00811B88" w:rsidRDefault="00426B4F" w:rsidP="00FC0030">
      <w:pPr>
        <w:numPr>
          <w:ilvl w:val="0"/>
          <w:numId w:val="24"/>
        </w:numPr>
      </w:pPr>
      <w:r w:rsidRPr="00811B88">
        <w:t>Rejestr, o którym mowa w punkcie 1 niniejszego rozdziału może być również prowadzony dla innych zbiorów</w:t>
      </w:r>
      <w:r w:rsidR="00F75584" w:rsidRPr="00811B88">
        <w:t xml:space="preserve"> lub jedna czynność przetwarzania może obejmować kilka zbiorów danych osobowych</w:t>
      </w:r>
      <w:r w:rsidRPr="00811B88">
        <w:t xml:space="preserve">. </w:t>
      </w:r>
    </w:p>
    <w:p w14:paraId="1BFD6021" w14:textId="77777777" w:rsidR="00426B4F" w:rsidRPr="00426B4F" w:rsidRDefault="00426B4F" w:rsidP="00FC0030">
      <w:pPr>
        <w:numPr>
          <w:ilvl w:val="0"/>
          <w:numId w:val="24"/>
        </w:numPr>
      </w:pPr>
      <w:r w:rsidRPr="00426B4F">
        <w:t>Rejestr czynności przetwarzania winien zawierać co najmniej informacje, o których mowa w art. 30 RODO tj.:</w:t>
      </w:r>
    </w:p>
    <w:p w14:paraId="64DC9686" w14:textId="7A53ED15" w:rsidR="00490BAB" w:rsidRDefault="00426B4F" w:rsidP="00FC0030">
      <w:pPr>
        <w:pStyle w:val="Akapitzlist"/>
        <w:numPr>
          <w:ilvl w:val="0"/>
          <w:numId w:val="28"/>
        </w:numPr>
      </w:pPr>
      <w:r w:rsidRPr="00426B4F">
        <w:t>Imię i nazwisko lub nazwę oraz dane kontaktowe administratora</w:t>
      </w:r>
      <w:r w:rsidR="00A50A96">
        <w:t>;</w:t>
      </w:r>
    </w:p>
    <w:p w14:paraId="6A154F45" w14:textId="77777777" w:rsidR="00490BAB" w:rsidRDefault="00426B4F" w:rsidP="00FC0030">
      <w:pPr>
        <w:pStyle w:val="Akapitzlist"/>
        <w:numPr>
          <w:ilvl w:val="0"/>
          <w:numId w:val="28"/>
        </w:numPr>
      </w:pPr>
      <w:r w:rsidRPr="00426B4F">
        <w:t xml:space="preserve">cele przetwarzania; </w:t>
      </w:r>
    </w:p>
    <w:p w14:paraId="056F845D" w14:textId="77777777" w:rsidR="00490BAB" w:rsidRDefault="00426B4F" w:rsidP="00FC0030">
      <w:pPr>
        <w:pStyle w:val="Akapitzlist"/>
        <w:numPr>
          <w:ilvl w:val="0"/>
          <w:numId w:val="28"/>
        </w:numPr>
      </w:pPr>
      <w:r w:rsidRPr="00426B4F">
        <w:t xml:space="preserve">opis kategorii osób, których dane dotyczą, oraz kategorii danych osobowych; </w:t>
      </w:r>
    </w:p>
    <w:p w14:paraId="0ED6B07C" w14:textId="77777777" w:rsidR="00490BAB" w:rsidRDefault="00426B4F" w:rsidP="00FC0030">
      <w:pPr>
        <w:pStyle w:val="Akapitzlist"/>
        <w:numPr>
          <w:ilvl w:val="0"/>
          <w:numId w:val="28"/>
        </w:numPr>
      </w:pPr>
      <w:r w:rsidRPr="00426B4F">
        <w:t xml:space="preserve">kategorie odbiorców, którym dane osobowe zostały lub zostaną ujawnione, w tym odbiorców w państwach trzecich lub w organizacjach międzynarodowych; </w:t>
      </w:r>
    </w:p>
    <w:p w14:paraId="4770909C" w14:textId="77777777" w:rsidR="00490BAB" w:rsidRDefault="00426B4F" w:rsidP="00FC0030">
      <w:pPr>
        <w:pStyle w:val="Akapitzlist"/>
        <w:numPr>
          <w:ilvl w:val="0"/>
          <w:numId w:val="28"/>
        </w:numPr>
      </w:pPr>
      <w:r w:rsidRPr="00426B4F">
        <w:t xml:space="preserve">gdy ma to zastosowanie, przekazania danych osobowych do państwa trzeciego lub organizacji międzynarodowej, w tym nazwa tego państwa trzeciego lub organizacji międzynarodowej, a w przypadku przekazań, o których mowa w art. 49 ust. 1 akapit drugi, dokumentacja odpowiednich zabezpieczeń; </w:t>
      </w:r>
    </w:p>
    <w:p w14:paraId="47018570" w14:textId="29B85AED" w:rsidR="00490BAB" w:rsidRDefault="00426B4F" w:rsidP="00FC0030">
      <w:pPr>
        <w:pStyle w:val="Akapitzlist"/>
        <w:numPr>
          <w:ilvl w:val="0"/>
          <w:numId w:val="28"/>
        </w:numPr>
      </w:pPr>
      <w:r w:rsidRPr="00426B4F">
        <w:t xml:space="preserve"> terminy usunięcia poszczególnych kategorii danych; </w:t>
      </w:r>
    </w:p>
    <w:p w14:paraId="6F85D0ED" w14:textId="21FA764C" w:rsidR="00426B4F" w:rsidRPr="00CB6CF7" w:rsidRDefault="00426B4F" w:rsidP="00FC0030">
      <w:pPr>
        <w:pStyle w:val="Akapitzlist"/>
        <w:numPr>
          <w:ilvl w:val="0"/>
          <w:numId w:val="28"/>
        </w:numPr>
      </w:pPr>
      <w:r w:rsidRPr="00CB6CF7">
        <w:t>ogólny opis technicznych i organizacyjnych środków bezpieczeństwa, o których mowa w art. 32 ust. 1 RODO.</w:t>
      </w:r>
    </w:p>
    <w:p w14:paraId="7DB444F1" w14:textId="611FCD8F" w:rsidR="00B662C7" w:rsidRPr="00442C0E" w:rsidRDefault="00426B4F" w:rsidP="00B662C7">
      <w:pPr>
        <w:pStyle w:val="Akapitzlist"/>
        <w:numPr>
          <w:ilvl w:val="0"/>
          <w:numId w:val="24"/>
        </w:numPr>
        <w:rPr>
          <w:u w:val="single"/>
        </w:rPr>
      </w:pPr>
      <w:r w:rsidRPr="00CB6CF7">
        <w:t>Rejestr czynności przetwarzania jest prowa</w:t>
      </w:r>
      <w:r w:rsidR="005737BB" w:rsidRPr="00CB6CF7">
        <w:t xml:space="preserve">dzony w oparciu o </w:t>
      </w:r>
      <w:r w:rsidR="005737BB" w:rsidRPr="000A1229">
        <w:rPr>
          <w:u w:val="single"/>
        </w:rPr>
        <w:t xml:space="preserve">załącznik nr </w:t>
      </w:r>
      <w:r w:rsidR="008F621E" w:rsidRPr="000A1229">
        <w:rPr>
          <w:u w:val="single"/>
        </w:rPr>
        <w:t>9</w:t>
      </w:r>
      <w:r w:rsidRPr="000A1229">
        <w:rPr>
          <w:u w:val="single"/>
        </w:rPr>
        <w:t>.</w:t>
      </w:r>
    </w:p>
    <w:p w14:paraId="6570653C" w14:textId="77777777" w:rsidR="000973A2" w:rsidRDefault="002B2D58" w:rsidP="002B2D58">
      <w:pPr>
        <w:jc w:val="center"/>
        <w:rPr>
          <w:b/>
        </w:rPr>
      </w:pPr>
      <w:bookmarkStart w:id="6" w:name="_Toc323809775"/>
      <w:r w:rsidRPr="002B2D58">
        <w:rPr>
          <w:b/>
        </w:rPr>
        <w:t xml:space="preserve">§9 </w:t>
      </w:r>
    </w:p>
    <w:p w14:paraId="07C5DAE6" w14:textId="7C51B3EC" w:rsidR="00B662C7" w:rsidRPr="002B2D58" w:rsidRDefault="00B662C7" w:rsidP="002B2D58">
      <w:pPr>
        <w:jc w:val="center"/>
        <w:rPr>
          <w:b/>
        </w:rPr>
      </w:pPr>
      <w:r w:rsidRPr="002B2D58">
        <w:rPr>
          <w:b/>
        </w:rPr>
        <w:t>Ewidencja osób upoważnionych do przetwarzania danych osobowych</w:t>
      </w:r>
      <w:bookmarkEnd w:id="6"/>
    </w:p>
    <w:p w14:paraId="4C6B5B15" w14:textId="36228967" w:rsidR="00B662C7" w:rsidRPr="00B42480" w:rsidRDefault="00426B4F" w:rsidP="00FC0030">
      <w:pPr>
        <w:pStyle w:val="Akapitzlist"/>
        <w:numPr>
          <w:ilvl w:val="0"/>
          <w:numId w:val="7"/>
        </w:numPr>
      </w:pPr>
      <w:r>
        <w:t>W</w:t>
      </w:r>
      <w:r w:rsidR="00B662C7" w:rsidRPr="002B2D58">
        <w:t xml:space="preserve">prowadza </w:t>
      </w:r>
      <w:r w:rsidR="00B662C7" w:rsidRPr="001A7F6F">
        <w:t xml:space="preserve">się ewidencję osób upoważnionych do przetwarzania danych, która stanowi </w:t>
      </w:r>
      <w:r w:rsidR="00B662C7" w:rsidRPr="000A1229">
        <w:rPr>
          <w:bCs/>
          <w:u w:val="single"/>
        </w:rPr>
        <w:t>załącznik nr 3</w:t>
      </w:r>
      <w:r w:rsidR="00B662C7" w:rsidRPr="001A7F6F">
        <w:t xml:space="preserve"> do</w:t>
      </w:r>
      <w:r w:rsidR="00B662C7" w:rsidRPr="00B42480">
        <w:t xml:space="preserve"> niniejszej dokumentacji.</w:t>
      </w:r>
    </w:p>
    <w:p w14:paraId="4D9210F1" w14:textId="2E821019" w:rsidR="00B662C7" w:rsidRPr="00B662C7" w:rsidRDefault="00B662C7" w:rsidP="00FC0030">
      <w:pPr>
        <w:pStyle w:val="Akapitzlist"/>
        <w:numPr>
          <w:ilvl w:val="0"/>
          <w:numId w:val="7"/>
        </w:numPr>
      </w:pPr>
      <w:r w:rsidRPr="00B662C7">
        <w:t>Ewidencja zawiera: imię</w:t>
      </w:r>
      <w:r w:rsidR="002B2D58">
        <w:t xml:space="preserve"> i nazwisko osoby upoważnionej, </w:t>
      </w:r>
      <w:r w:rsidRPr="00B662C7">
        <w:t>stanowisko, datę nadania i ustania uprawnień oraz zakres, a w przypadku</w:t>
      </w:r>
      <w:r w:rsidR="002B6082">
        <w:t>,</w:t>
      </w:r>
      <w:r w:rsidRPr="00B662C7">
        <w:t xml:space="preserve"> kiedy dane są przetwarzane za pomocą programu komputerowego </w:t>
      </w:r>
      <w:r w:rsidR="00EC2A9D">
        <w:t xml:space="preserve">oraz </w:t>
      </w:r>
      <w:r w:rsidRPr="00B662C7">
        <w:t>identyfikator</w:t>
      </w:r>
      <w:r w:rsidR="000A1229">
        <w:t>(login)</w:t>
      </w:r>
      <w:r w:rsidRPr="00B662C7">
        <w:t xml:space="preserve"> dostępowy do tego programu.</w:t>
      </w:r>
    </w:p>
    <w:p w14:paraId="552F8F97" w14:textId="77777777" w:rsidR="002B2D58" w:rsidRDefault="002B2D58" w:rsidP="002B2D58">
      <w:bookmarkStart w:id="7" w:name="_Toc323809776"/>
    </w:p>
    <w:p w14:paraId="2DC584BF" w14:textId="77777777" w:rsidR="000973A2" w:rsidRDefault="002B2D58" w:rsidP="002B2D58">
      <w:pPr>
        <w:jc w:val="center"/>
        <w:rPr>
          <w:b/>
        </w:rPr>
      </w:pPr>
      <w:r w:rsidRPr="002B2D58">
        <w:rPr>
          <w:b/>
        </w:rPr>
        <w:t xml:space="preserve">§10 </w:t>
      </w:r>
    </w:p>
    <w:p w14:paraId="6F139AC8" w14:textId="23E89C6B" w:rsidR="00B662C7" w:rsidRPr="002B2D58" w:rsidRDefault="00B662C7" w:rsidP="002B2D58">
      <w:pPr>
        <w:jc w:val="center"/>
        <w:rPr>
          <w:b/>
        </w:rPr>
      </w:pPr>
      <w:r w:rsidRPr="002B2D58">
        <w:rPr>
          <w:b/>
        </w:rPr>
        <w:t>Środki organizacyjne ochrony danych osobowych</w:t>
      </w:r>
      <w:bookmarkEnd w:id="7"/>
    </w:p>
    <w:p w14:paraId="6F81CDBC" w14:textId="3BE9C0EA" w:rsidR="00B662C7" w:rsidRPr="00B662C7" w:rsidRDefault="00B662C7" w:rsidP="00FC0030">
      <w:pPr>
        <w:pStyle w:val="Akapitzlist"/>
        <w:numPr>
          <w:ilvl w:val="0"/>
          <w:numId w:val="8"/>
        </w:numPr>
      </w:pPr>
      <w:r w:rsidRPr="00B662C7">
        <w:t>Prze</w:t>
      </w:r>
      <w:r w:rsidR="002B2D58">
        <w:t xml:space="preserve">twarzanie danych osobowych na terenie </w:t>
      </w:r>
      <w:r w:rsidR="00EC2A9D">
        <w:t xml:space="preserve">Hospicjum </w:t>
      </w:r>
      <w:r w:rsidRPr="00B662C7">
        <w:t>może odbywać się wyłącznie w ramach wykonywania zadań służbowych. Zakres uprawni</w:t>
      </w:r>
      <w:r w:rsidR="002B2D58">
        <w:t>eń jest ściśle proporcjonalny do</w:t>
      </w:r>
      <w:r w:rsidRPr="00B662C7">
        <w:t xml:space="preserve"> tych zadań.</w:t>
      </w:r>
    </w:p>
    <w:p w14:paraId="61BEA13A" w14:textId="4E447ABD" w:rsidR="00B662C7" w:rsidRPr="00A34F2D" w:rsidRDefault="00B662C7" w:rsidP="00FC0030">
      <w:pPr>
        <w:pStyle w:val="Akapitzlist"/>
        <w:numPr>
          <w:ilvl w:val="0"/>
          <w:numId w:val="8"/>
        </w:numPr>
      </w:pPr>
      <w:r w:rsidRPr="00A34F2D">
        <w:t xml:space="preserve">Prowadzona jest </w:t>
      </w:r>
      <w:r w:rsidRPr="00A34F2D">
        <w:rPr>
          <w:bCs/>
        </w:rPr>
        <w:t>ewidencja</w:t>
      </w:r>
      <w:r w:rsidRPr="00A34F2D">
        <w:t xml:space="preserve"> </w:t>
      </w:r>
      <w:r w:rsidRPr="00A34F2D">
        <w:rPr>
          <w:bCs/>
        </w:rPr>
        <w:t xml:space="preserve">osób upoważnionych </w:t>
      </w:r>
      <w:r w:rsidRPr="00A34F2D">
        <w:t xml:space="preserve">do przetwarzania danych. </w:t>
      </w:r>
    </w:p>
    <w:p w14:paraId="418C2A59" w14:textId="52A6358E" w:rsidR="00B662C7" w:rsidRDefault="00B662C7" w:rsidP="000A1229">
      <w:pPr>
        <w:pStyle w:val="Akapitzlist"/>
        <w:numPr>
          <w:ilvl w:val="0"/>
          <w:numId w:val="8"/>
        </w:numPr>
      </w:pPr>
      <w:r w:rsidRPr="00A34F2D">
        <w:t xml:space="preserve">Do przetwarzania danych mogą być dopuszczone wyłącznie osoby posiadające </w:t>
      </w:r>
      <w:r w:rsidR="00EC2A9D">
        <w:t>nadane</w:t>
      </w:r>
      <w:r w:rsidRPr="00A34F2D">
        <w:t xml:space="preserve"> </w:t>
      </w:r>
      <w:r w:rsidRPr="00A34F2D">
        <w:rPr>
          <w:bCs/>
        </w:rPr>
        <w:t>upoważnienie</w:t>
      </w:r>
      <w:r w:rsidR="00DA70F5">
        <w:rPr>
          <w:bCs/>
        </w:rPr>
        <w:t xml:space="preserve"> wydane przez Administratora danych osobowych</w:t>
      </w:r>
      <w:r w:rsidRPr="00A34F2D">
        <w:t xml:space="preserve">. </w:t>
      </w:r>
      <w:r w:rsidRPr="0039244F">
        <w:t>Wzór upoważnienia</w:t>
      </w:r>
      <w:r w:rsidR="00632522" w:rsidRPr="0039244F">
        <w:t xml:space="preserve"> </w:t>
      </w:r>
      <w:r w:rsidR="000A1229">
        <w:t xml:space="preserve">/ unieważnienia </w:t>
      </w:r>
      <w:r w:rsidR="00632522" w:rsidRPr="0039244F">
        <w:t>do przetwarzania danych osobowych</w:t>
      </w:r>
      <w:r w:rsidRPr="0039244F">
        <w:t xml:space="preserve"> stanowi </w:t>
      </w:r>
      <w:r w:rsidRPr="005C2A5D">
        <w:rPr>
          <w:bCs/>
          <w:u w:val="single"/>
        </w:rPr>
        <w:t>załącznik nr 4</w:t>
      </w:r>
      <w:r w:rsidRPr="0039244F">
        <w:t xml:space="preserve"> do niniejszej dokumentacji.</w:t>
      </w:r>
    </w:p>
    <w:p w14:paraId="0BCFE14A" w14:textId="7456F2D6" w:rsidR="00AD6621" w:rsidRPr="0039244F" w:rsidRDefault="00AD6621" w:rsidP="00AD6621">
      <w:pPr>
        <w:pStyle w:val="Akapitzlist"/>
        <w:numPr>
          <w:ilvl w:val="0"/>
          <w:numId w:val="8"/>
        </w:numPr>
      </w:pPr>
      <w:r>
        <w:lastRenderedPageBreak/>
        <w:t>Osoby przebywające</w:t>
      </w:r>
      <w:r w:rsidR="000A1229">
        <w:t xml:space="preserve"> i wykonujące czynności służbowe</w:t>
      </w:r>
      <w:r>
        <w:t xml:space="preserve"> w obszarze przetwarzania danych osobowych a nie przetwarzające danych</w:t>
      </w:r>
      <w:r w:rsidR="008E3AE9">
        <w:t>,</w:t>
      </w:r>
      <w:r>
        <w:t xml:space="preserve"> obowiązuje</w:t>
      </w:r>
      <w:r w:rsidR="004009D6">
        <w:t xml:space="preserve"> zasada zachowania poufności wg</w:t>
      </w:r>
      <w:r>
        <w:t xml:space="preserve"> </w:t>
      </w:r>
      <w:r w:rsidRPr="000A1229">
        <w:rPr>
          <w:u w:val="single"/>
        </w:rPr>
        <w:t>załącznika nr 5</w:t>
      </w:r>
      <w:r>
        <w:t xml:space="preserve"> </w:t>
      </w:r>
      <w:r w:rsidRPr="00AD6621">
        <w:t>do niniejszej dokumentacji</w:t>
      </w:r>
      <w:r>
        <w:t>.</w:t>
      </w:r>
    </w:p>
    <w:p w14:paraId="1E589893" w14:textId="2A8F2B9E" w:rsidR="00B662C7" w:rsidRPr="00B662C7" w:rsidRDefault="00B662C7" w:rsidP="00FC0030">
      <w:pPr>
        <w:pStyle w:val="Akapitzlist"/>
        <w:numPr>
          <w:ilvl w:val="0"/>
          <w:numId w:val="8"/>
        </w:numPr>
      </w:pPr>
      <w:r w:rsidRPr="00B662C7">
        <w:t>K</w:t>
      </w:r>
      <w:r w:rsidR="00A34F2D">
        <w:t xml:space="preserve">ażdy </w:t>
      </w:r>
      <w:r w:rsidR="00EC2A9D">
        <w:t>zatrudniony w Hospicjum</w:t>
      </w:r>
      <w:r w:rsidRPr="00B662C7">
        <w:t xml:space="preserve"> co najmniej raz na rok musi odbyć szkolenie z zakresu ochrony danych osobowych. Nowo przyjęty pracownik odbywa szkolenie przed przystąpieniem do przetwarzania danych.</w:t>
      </w:r>
    </w:p>
    <w:p w14:paraId="47E1F593" w14:textId="10B3E430" w:rsidR="00B662C7" w:rsidRPr="00CE6FBE" w:rsidRDefault="00CE6FBE" w:rsidP="00FC0030">
      <w:pPr>
        <w:pStyle w:val="Akapitzlist"/>
        <w:numPr>
          <w:ilvl w:val="0"/>
          <w:numId w:val="8"/>
        </w:numPr>
      </w:pPr>
      <w:r>
        <w:t>K</w:t>
      </w:r>
      <w:r w:rsidR="00B662C7" w:rsidRPr="00CE6FBE">
        <w:t xml:space="preserve">ażdy upoważniony do przetwarzania danych </w:t>
      </w:r>
      <w:r w:rsidR="00B662C7" w:rsidRPr="00CE6FBE">
        <w:rPr>
          <w:bCs/>
        </w:rPr>
        <w:t>potwierdza pisemnie</w:t>
      </w:r>
      <w:r w:rsidR="00B662C7" w:rsidRPr="00CE6FBE">
        <w:t xml:space="preserve"> fakt </w:t>
      </w:r>
      <w:r w:rsidR="00B662C7" w:rsidRPr="000812D9">
        <w:t xml:space="preserve">zapoznania się z niniejszą dokumentacją i zrozumieniem wszystkich zasad bezpieczeństwa. Wzór potwierdzenia stanowi </w:t>
      </w:r>
      <w:r w:rsidR="00B662C7" w:rsidRPr="000812D9">
        <w:rPr>
          <w:bCs/>
          <w:u w:val="single"/>
        </w:rPr>
        <w:t>załącznik nr 6</w:t>
      </w:r>
      <w:r w:rsidR="00B662C7" w:rsidRPr="000812D9">
        <w:rPr>
          <w:bCs/>
        </w:rPr>
        <w:t xml:space="preserve"> </w:t>
      </w:r>
      <w:r w:rsidR="00B662C7" w:rsidRPr="000812D9">
        <w:t>do niniejszej dokumentacji. Podpisany dokument</w:t>
      </w:r>
      <w:r w:rsidR="00B662C7" w:rsidRPr="00CE6FBE">
        <w:t xml:space="preserve"> </w:t>
      </w:r>
      <w:r w:rsidR="002372F1">
        <w:t>jest dołączany do akt osobowych pracownika lub stanowi załącznik do</w:t>
      </w:r>
      <w:r w:rsidR="00DE1310">
        <w:t xml:space="preserve"> zawartej</w:t>
      </w:r>
      <w:r w:rsidR="002372F1">
        <w:t xml:space="preserve"> umowy.</w:t>
      </w:r>
    </w:p>
    <w:p w14:paraId="33524099" w14:textId="0DD74F61" w:rsidR="00B662C7" w:rsidRPr="00C76BB5" w:rsidRDefault="00CE6FBE" w:rsidP="00FC0030">
      <w:pPr>
        <w:pStyle w:val="Akapitzlist"/>
        <w:numPr>
          <w:ilvl w:val="0"/>
          <w:numId w:val="8"/>
        </w:numPr>
      </w:pPr>
      <w:r w:rsidRPr="00C76BB5">
        <w:t xml:space="preserve">Przebywanie osób nieuprawnionych w </w:t>
      </w:r>
      <w:r w:rsidR="00B662C7" w:rsidRPr="00C76BB5">
        <w:t>obszarze</w:t>
      </w:r>
      <w:r w:rsidRPr="00C76BB5">
        <w:t xml:space="preserve"> przetwarzania danych</w:t>
      </w:r>
      <w:r w:rsidR="000F38E6">
        <w:t xml:space="preserve"> jest dopuszczalne tylko w </w:t>
      </w:r>
      <w:r w:rsidR="00B662C7" w:rsidRPr="00C76BB5">
        <w:t xml:space="preserve">obecności osoby upoważnionej do przetwarzania </w:t>
      </w:r>
      <w:r w:rsidR="002A1A9C">
        <w:t xml:space="preserve">danych osobowych. </w:t>
      </w:r>
    </w:p>
    <w:p w14:paraId="7585094B" w14:textId="10D79356" w:rsidR="00B662C7" w:rsidRPr="00B662C7" w:rsidRDefault="00B662C7" w:rsidP="00FC0030">
      <w:pPr>
        <w:pStyle w:val="Akapitzlist"/>
        <w:numPr>
          <w:ilvl w:val="0"/>
          <w:numId w:val="8"/>
        </w:numPr>
      </w:pPr>
      <w:r w:rsidRPr="00B662C7">
        <w:t xml:space="preserve">Pomieszczenia stanowiące obszar przetwarzania danych powinny być zamykane na klucz. </w:t>
      </w:r>
    </w:p>
    <w:p w14:paraId="0BC268AD" w14:textId="5A35E219" w:rsidR="00B662C7" w:rsidRDefault="00D30F9B" w:rsidP="00FC0030">
      <w:pPr>
        <w:pStyle w:val="Akapitzlist"/>
        <w:numPr>
          <w:ilvl w:val="0"/>
          <w:numId w:val="8"/>
        </w:numPr>
      </w:pPr>
      <w:r>
        <w:t>Po zakończeniu pracy, p</w:t>
      </w:r>
      <w:r w:rsidR="00B662C7" w:rsidRPr="00B662C7">
        <w:t>rzed opuszczeniem pomieszczenia stanowiącego obszar przetwarzania danych należy zamknąć okna oraz usunąć z biurka wszystkie dokumenty i nośniki informacji oraz umieścić je w </w:t>
      </w:r>
      <w:r w:rsidR="00EC2A9D">
        <w:t>przystosowanych do tego</w:t>
      </w:r>
      <w:r w:rsidR="00B662C7" w:rsidRPr="00B662C7">
        <w:t xml:space="preserve"> szafach lub biurkach</w:t>
      </w:r>
      <w:r w:rsidR="00513543">
        <w:t xml:space="preserve"> z możliwością zamknięcia na klucz.</w:t>
      </w:r>
    </w:p>
    <w:p w14:paraId="189325AF" w14:textId="64AC3910" w:rsidR="00D30F9B" w:rsidRDefault="00103786" w:rsidP="00FC0030">
      <w:pPr>
        <w:pStyle w:val="Akapitzlist"/>
        <w:numPr>
          <w:ilvl w:val="0"/>
          <w:numId w:val="8"/>
        </w:numPr>
      </w:pPr>
      <w:r>
        <w:t xml:space="preserve">W podmiocie </w:t>
      </w:r>
      <w:r w:rsidR="00D30F9B">
        <w:t>zabronione jest udzielanie wszelkich informacji zawierających dane osobowe osobom, których tożsamości nie można zweryfikować. Weryfikacja tożsamości może odbywać się poprzez żądanie okazania dokumentu tożsamości lub innego dokumentu zawierającego zdjęcie wnioskodawcy lub poprzez wykorzystanie informacji zawartej w dokumentacji medycznej, która jest znana jedynie wnioskodawcy. Do tego celu należy wykorzystać metodę pytań bezpośrednich, w których wnioskodawca udzieli poprawnych informacji w co najmniej dwóch zapytaniach.</w:t>
      </w:r>
    </w:p>
    <w:p w14:paraId="60196BC3" w14:textId="08B094B4" w:rsidR="00D30F9B" w:rsidRDefault="00B82423" w:rsidP="00FC0030">
      <w:pPr>
        <w:pStyle w:val="Akapitzlist"/>
        <w:numPr>
          <w:ilvl w:val="0"/>
          <w:numId w:val="8"/>
        </w:numPr>
      </w:pPr>
      <w:r>
        <w:t>W Praktyce</w:t>
      </w:r>
      <w:r w:rsidR="00D30F9B">
        <w:t xml:space="preserve"> niedopuszcza</w:t>
      </w:r>
      <w:r w:rsidR="00EC6D97">
        <w:t xml:space="preserve">lne </w:t>
      </w:r>
      <w:r w:rsidR="00991834">
        <w:t>jest przekazywania jakichkolwiek</w:t>
      </w:r>
      <w:r w:rsidR="00D30F9B">
        <w:t xml:space="preserve"> informacji zawierających dane osobowe podmiotom, instytucjom czy też organom, które nie mogą się wykazać prawidłową podstawą prawną dostępu do danych osobowych. </w:t>
      </w:r>
    </w:p>
    <w:p w14:paraId="4537B012" w14:textId="4F8E02C8" w:rsidR="00D30F9B" w:rsidRDefault="00D30F9B" w:rsidP="00FC0030">
      <w:pPr>
        <w:pStyle w:val="Akapitzlist"/>
        <w:numPr>
          <w:ilvl w:val="0"/>
          <w:numId w:val="8"/>
        </w:numPr>
      </w:pPr>
      <w:r>
        <w:t>W przypadku konieczności wydania dokumentów zawierających dane osobowe (np. wynik badań, recepty itp.) należy każdorazowo weryfikować tożsamość odbierającego za pomocą mechani</w:t>
      </w:r>
      <w:r w:rsidR="00A609EF">
        <w:t>zmu, o którym mowa w ust.1</w:t>
      </w:r>
      <w:r w:rsidR="006364AB">
        <w:t>0</w:t>
      </w:r>
      <w:r w:rsidR="00A609EF">
        <w:t xml:space="preserve"> niniejszego artykułu</w:t>
      </w:r>
      <w:r>
        <w:t xml:space="preserve">, a w przypadku, kiedy odbierającym nie jest adresat dokumentu należy </w:t>
      </w:r>
      <w:r w:rsidR="006364AB">
        <w:t>odnieść się do złożonego upoważnienia przez pacjenta w posiadanej przez Hospicjum dokumentacji medycznej.</w:t>
      </w:r>
    </w:p>
    <w:p w14:paraId="046A8EF7" w14:textId="78DD4E27" w:rsidR="00D30F9B" w:rsidRDefault="00D30F9B" w:rsidP="00FC0030">
      <w:pPr>
        <w:pStyle w:val="Akapitzlist"/>
        <w:numPr>
          <w:ilvl w:val="0"/>
          <w:numId w:val="8"/>
        </w:numPr>
      </w:pPr>
      <w:r>
        <w:t xml:space="preserve">Organizacja rejestracji </w:t>
      </w:r>
      <w:r w:rsidR="00726079">
        <w:t xml:space="preserve">i obsługi pacjenta </w:t>
      </w:r>
      <w:r>
        <w:t xml:space="preserve">umożliwia zachowanie poufności osobom przebywającym bezpośrednio </w:t>
      </w:r>
      <w:r w:rsidR="00726079">
        <w:t>w obszarze przetwarzania danych</w:t>
      </w:r>
      <w:r>
        <w:t>.</w:t>
      </w:r>
    </w:p>
    <w:p w14:paraId="06FB46D7" w14:textId="12089B75" w:rsidR="00D30F9B" w:rsidRDefault="00D30F9B" w:rsidP="00FC0030">
      <w:pPr>
        <w:pStyle w:val="Akapitzlist"/>
        <w:numPr>
          <w:ilvl w:val="0"/>
          <w:numId w:val="8"/>
        </w:numPr>
      </w:pPr>
      <w:r>
        <w:t>Udzielani</w:t>
      </w:r>
      <w:r w:rsidR="00E72FB7">
        <w:t xml:space="preserve">e świadczeń zdrowotnych w </w:t>
      </w:r>
      <w:r w:rsidR="00D45250">
        <w:t>Hospicjum</w:t>
      </w:r>
      <w:r>
        <w:t xml:space="preserve"> odbywa się w miejscach specjalnie do tego wyznaczonych. Zabrania się udzielania informacji dotyczących pacjentów na </w:t>
      </w:r>
      <w:r w:rsidR="00D45250">
        <w:t>korytarzach</w:t>
      </w:r>
      <w:r>
        <w:t xml:space="preserve"> lub innych nieprzystosowanych do tego miejscach </w:t>
      </w:r>
      <w:r w:rsidR="00D45250">
        <w:t>w Hospicjum</w:t>
      </w:r>
      <w:r>
        <w:t>.</w:t>
      </w:r>
    </w:p>
    <w:p w14:paraId="70D966EA" w14:textId="03B481D3" w:rsidR="00D30F9B" w:rsidRDefault="00D30F9B" w:rsidP="00FC0030">
      <w:pPr>
        <w:pStyle w:val="Akapitzlist"/>
        <w:numPr>
          <w:ilvl w:val="0"/>
          <w:numId w:val="8"/>
        </w:numPr>
      </w:pPr>
      <w:r>
        <w:t xml:space="preserve">Zabrania się eksponowania dokumentów zawierających dane osobowe w miejscach niezabezpieczonych np. </w:t>
      </w:r>
      <w:r w:rsidR="006C4481">
        <w:t>biurkach, półkach</w:t>
      </w:r>
      <w:r>
        <w:t>, parapetach</w:t>
      </w:r>
      <w:r w:rsidR="006364AB">
        <w:t>,</w:t>
      </w:r>
      <w:r>
        <w:t xml:space="preserve"> itp.</w:t>
      </w:r>
    </w:p>
    <w:p w14:paraId="0193906B" w14:textId="7D4016E3" w:rsidR="00D30F9B" w:rsidRPr="00B662C7" w:rsidRDefault="00D30F9B" w:rsidP="00FC0030">
      <w:pPr>
        <w:pStyle w:val="Akapitzlist"/>
        <w:numPr>
          <w:ilvl w:val="0"/>
          <w:numId w:val="8"/>
        </w:numPr>
      </w:pPr>
      <w:r>
        <w:t>Wydruki i inne dokumenty zawierające dane osobowe są przechowywane w pomieszczeniach do tego wyznaczonych. Na stanowiskach pracy mogą być dostępne jedynie dokumenty dotyczące danej sprawy/ danego pacjenta. Stosowana jest zasada tzw. czystego biurka.</w:t>
      </w:r>
    </w:p>
    <w:p w14:paraId="100D75A7" w14:textId="1DFF9B00" w:rsidR="00B662C7" w:rsidRPr="00B662C7" w:rsidRDefault="00B662C7" w:rsidP="00FC0030">
      <w:pPr>
        <w:pStyle w:val="Akapitzlist"/>
        <w:numPr>
          <w:ilvl w:val="0"/>
          <w:numId w:val="8"/>
        </w:numPr>
      </w:pPr>
      <w:r w:rsidRPr="00B662C7">
        <w:t>Dokumenty zawierające dane osobowe należy ni</w:t>
      </w:r>
      <w:r w:rsidR="009F63E5">
        <w:t>szczyć w</w:t>
      </w:r>
      <w:r w:rsidRPr="00B662C7">
        <w:t xml:space="preserve"> niszczarkach</w:t>
      </w:r>
      <w:r w:rsidR="009F63E5">
        <w:t xml:space="preserve"> lub</w:t>
      </w:r>
      <w:r w:rsidR="00E10EAD">
        <w:t xml:space="preserve"> w prz</w:t>
      </w:r>
      <w:r w:rsidR="00B27F71">
        <w:t>ypadku dużej ilości dokumentów</w:t>
      </w:r>
      <w:r w:rsidR="00E10EAD">
        <w:t>,</w:t>
      </w:r>
      <w:r w:rsidR="009F63E5">
        <w:t xml:space="preserve"> korzystać w tym celu z usług profesjonalnych podmiotów, zajmujących się utylizacją dokumentacji</w:t>
      </w:r>
      <w:r w:rsidRPr="00B662C7">
        <w:t>.</w:t>
      </w:r>
    </w:p>
    <w:p w14:paraId="634912B6" w14:textId="2FBD6C6D" w:rsidR="00795D68" w:rsidRPr="009A50E9" w:rsidRDefault="001276DF" w:rsidP="00FC0030">
      <w:pPr>
        <w:pStyle w:val="Akapitzlist"/>
        <w:numPr>
          <w:ilvl w:val="0"/>
          <w:numId w:val="8"/>
        </w:numPr>
      </w:pPr>
      <w:r w:rsidRPr="009A50E9">
        <w:t>W</w:t>
      </w:r>
      <w:r w:rsidR="00795D68" w:rsidRPr="009A50E9">
        <w:t>obec osób, który</w:t>
      </w:r>
      <w:r w:rsidRPr="009A50E9">
        <w:t>ch dane są przetwarzane wykonuje się</w:t>
      </w:r>
      <w:r w:rsidR="00795D68" w:rsidRPr="009A50E9">
        <w:t xml:space="preserve"> obowiązek informacyjny, zgodnie z art. 12-14 RODO, </w:t>
      </w:r>
      <w:r w:rsidR="00795D68" w:rsidRPr="00AD6621">
        <w:t xml:space="preserve">a wzór klauzul informacyjnych znajduje się w </w:t>
      </w:r>
      <w:r w:rsidR="00795D68" w:rsidRPr="00AD6621">
        <w:rPr>
          <w:u w:val="single"/>
        </w:rPr>
        <w:t>załączniku nr 7.</w:t>
      </w:r>
    </w:p>
    <w:p w14:paraId="055FBF17" w14:textId="597879C5" w:rsidR="00795D68" w:rsidRDefault="001276DF" w:rsidP="00FC0030">
      <w:pPr>
        <w:pStyle w:val="Akapitzlist"/>
        <w:numPr>
          <w:ilvl w:val="0"/>
          <w:numId w:val="8"/>
        </w:numPr>
      </w:pPr>
      <w:r>
        <w:t>O</w:t>
      </w:r>
      <w:r w:rsidR="00795D68">
        <w:t xml:space="preserve">bowiązek informacyjny wobec pacjentów </w:t>
      </w:r>
      <w:r w:rsidR="006C4481">
        <w:t>jest</w:t>
      </w:r>
      <w:r w:rsidR="00795D68">
        <w:t xml:space="preserve"> wykonywany poprzez umieszczenie na tablicy informacyjnej </w:t>
      </w:r>
      <w:r w:rsidR="00A67EA0" w:rsidRPr="00A67EA0">
        <w:t>w</w:t>
      </w:r>
      <w:r w:rsidR="00A67EA0">
        <w:t xml:space="preserve"> biurze hospicjum</w:t>
      </w:r>
      <w:r w:rsidR="00795D68">
        <w:t xml:space="preserve"> </w:t>
      </w:r>
      <w:r w:rsidR="006C4481">
        <w:t xml:space="preserve">oraz na </w:t>
      </w:r>
      <w:r w:rsidR="00795D68">
        <w:t>stron</w:t>
      </w:r>
      <w:r w:rsidR="006C4481">
        <w:t>ie</w:t>
      </w:r>
      <w:r w:rsidR="00795D68">
        <w:t xml:space="preserve"> internetowej</w:t>
      </w:r>
      <w:r w:rsidR="006364AB">
        <w:t xml:space="preserve"> Hospicjum</w:t>
      </w:r>
      <w:r w:rsidR="00795D68">
        <w:t>.</w:t>
      </w:r>
    </w:p>
    <w:p w14:paraId="67A7FCDA" w14:textId="77777777" w:rsidR="00B662C7" w:rsidRPr="00B662C7" w:rsidRDefault="00B662C7" w:rsidP="00FC0030">
      <w:pPr>
        <w:pStyle w:val="Akapitzlist"/>
        <w:numPr>
          <w:ilvl w:val="0"/>
          <w:numId w:val="8"/>
        </w:numPr>
      </w:pPr>
      <w:r w:rsidRPr="00B662C7">
        <w:lastRenderedPageBreak/>
        <w:t>Monitory komputerów, na których przetwarzane są dane osobowe ustawione są w sposób uniemożliwiający wgląd osobom postronnym w przetwarzane dane.</w:t>
      </w:r>
    </w:p>
    <w:p w14:paraId="329C1D06" w14:textId="2DF29FAD" w:rsidR="00B662C7" w:rsidRPr="00B662C7" w:rsidRDefault="00B662C7" w:rsidP="00FC0030">
      <w:pPr>
        <w:pStyle w:val="Akapitzlist"/>
        <w:numPr>
          <w:ilvl w:val="0"/>
          <w:numId w:val="8"/>
        </w:numPr>
      </w:pPr>
      <w:r w:rsidRPr="00B662C7">
        <w:t>Dokumenty w wersji elektronicznej, które zapisywane są na nośniki zewnętrzne, pr</w:t>
      </w:r>
      <w:r w:rsidR="00C76BB5">
        <w:t>zenoszone poza obszary przetwarzania</w:t>
      </w:r>
      <w:r w:rsidRPr="00B662C7">
        <w:t xml:space="preserve"> lub przesyłane pocztą elektroniczną, należy zabezpieczyć poprzez nadanie im haseł odczytu.</w:t>
      </w:r>
    </w:p>
    <w:p w14:paraId="2A124340" w14:textId="77777777" w:rsidR="00B662C7" w:rsidRPr="00B662C7" w:rsidRDefault="00B662C7" w:rsidP="00FC0030">
      <w:pPr>
        <w:pStyle w:val="Akapitzlist"/>
        <w:numPr>
          <w:ilvl w:val="0"/>
          <w:numId w:val="8"/>
        </w:numPr>
      </w:pPr>
      <w:r w:rsidRPr="00B662C7">
        <w:t>Zbiory osobowe przetwarzane elektronicznie należy zabezpieczać poprzez wykonywanie kopii bezpieczeństwa, zapisywanych na zewnętrznych nośnikach i przechowywanych pod zamknięciem.</w:t>
      </w:r>
    </w:p>
    <w:p w14:paraId="19AAC073" w14:textId="42180B48" w:rsidR="00B662C7" w:rsidRPr="00B662C7" w:rsidRDefault="00B662C7" w:rsidP="00FC0030">
      <w:pPr>
        <w:pStyle w:val="Akapitzlist"/>
        <w:numPr>
          <w:ilvl w:val="0"/>
          <w:numId w:val="8"/>
        </w:numPr>
      </w:pPr>
      <w:r w:rsidRPr="006364AB">
        <w:t xml:space="preserve">Komputery, które przetwarzają </w:t>
      </w:r>
      <w:r w:rsidR="006364AB" w:rsidRPr="006364AB">
        <w:t xml:space="preserve">dane </w:t>
      </w:r>
      <w:r w:rsidRPr="006364AB">
        <w:t xml:space="preserve">osobowe </w:t>
      </w:r>
      <w:r w:rsidRPr="00B662C7">
        <w:t>należy wyposażyć w urządzenia podtrzymujące napięcie na wypadek braku zasilania.</w:t>
      </w:r>
    </w:p>
    <w:p w14:paraId="46A5B938" w14:textId="74227FDD" w:rsidR="00B662C7" w:rsidRPr="00FF3C8F" w:rsidRDefault="00B662C7" w:rsidP="00FF3C8F">
      <w:pPr>
        <w:pStyle w:val="Akapitzlist"/>
        <w:numPr>
          <w:ilvl w:val="0"/>
          <w:numId w:val="8"/>
        </w:numPr>
      </w:pPr>
      <w:r w:rsidRPr="00B662C7">
        <w:t xml:space="preserve">Pliki edytorów tekstu lub arkuszy kalkulacyjnych należy traktować jak kopie zbiorów, z których pochodzą przetwarzane w nich dane i odpowiednio zabezpieczać stosując </w:t>
      </w:r>
      <w:r w:rsidRPr="00FF3C8F">
        <w:t xml:space="preserve">wytyczne zawarte </w:t>
      </w:r>
      <w:r w:rsidR="00FF3C8F" w:rsidRPr="00FF3C8F">
        <w:t>§</w:t>
      </w:r>
      <w:r w:rsidR="00FF3C8F">
        <w:t>12 Zabezpieczenie systemu informatycznego.</w:t>
      </w:r>
    </w:p>
    <w:p w14:paraId="5EBF7115" w14:textId="4354A122" w:rsidR="00B662C7" w:rsidRDefault="00B662C7" w:rsidP="00FC0030">
      <w:pPr>
        <w:pStyle w:val="Akapitzlist"/>
        <w:numPr>
          <w:ilvl w:val="0"/>
          <w:numId w:val="8"/>
        </w:numPr>
      </w:pPr>
      <w:r w:rsidRPr="00B662C7">
        <w:t>W celu zapewnienia</w:t>
      </w:r>
      <w:r w:rsidR="006C4481">
        <w:t xml:space="preserve"> bezpieczeństwa</w:t>
      </w:r>
      <w:r w:rsidRPr="00B662C7">
        <w:t xml:space="preserve"> przetwarzanych </w:t>
      </w:r>
      <w:r w:rsidR="006C4481">
        <w:t xml:space="preserve">danych </w:t>
      </w:r>
      <w:r w:rsidRPr="00B662C7">
        <w:t>elektronicznie należy zapewnić logowanie do systemu operacyjnego oraz bezpośrednio do programów przetwarzających dane.</w:t>
      </w:r>
    </w:p>
    <w:p w14:paraId="3A30B77B" w14:textId="085C418E" w:rsidR="001A6AA9" w:rsidRPr="00AD6621" w:rsidRDefault="001A6AA9" w:rsidP="00FC0030">
      <w:pPr>
        <w:pStyle w:val="Akapitzlist"/>
        <w:numPr>
          <w:ilvl w:val="0"/>
          <w:numId w:val="8"/>
        </w:numPr>
        <w:rPr>
          <w:u w:val="single"/>
        </w:rPr>
      </w:pPr>
      <w:r w:rsidRPr="00CA4F74">
        <w:t>Z wszystkimi współpracującymi podmiotami gospodarczymi podpisano, na mocy art. 28 RODO, umowy powierzenia przetwarzania danych osobowych</w:t>
      </w:r>
      <w:r w:rsidR="00F5680B">
        <w:t xml:space="preserve"> wg </w:t>
      </w:r>
      <w:r w:rsidR="00F5680B" w:rsidRPr="00F5680B">
        <w:rPr>
          <w:u w:val="single"/>
        </w:rPr>
        <w:t>załącznika nr 1</w:t>
      </w:r>
      <w:r w:rsidRPr="00CA4F74">
        <w:t xml:space="preserve"> lub w umowach podstawowych wprowadzono uregulowania odnoszące się do obowiązków zapewnienia przestrzegania przepisów RODO przez te podmioty.</w:t>
      </w:r>
      <w:r w:rsidR="00350862" w:rsidRPr="00CA4F74">
        <w:t xml:space="preserve"> </w:t>
      </w:r>
      <w:r w:rsidR="00CF7A2A" w:rsidRPr="00CA4F74">
        <w:t>W podmiocie leczniczym prowadzona jest ewidencja podmiotów, z który</w:t>
      </w:r>
      <w:r w:rsidR="004F2BBE" w:rsidRPr="00CA4F74">
        <w:t xml:space="preserve">mi </w:t>
      </w:r>
      <w:r w:rsidR="00CA4F74" w:rsidRPr="00CA4F74">
        <w:t>zawarto</w:t>
      </w:r>
      <w:r w:rsidR="004F2BBE" w:rsidRPr="00CA4F74">
        <w:t xml:space="preserve"> umowy powierzenia, któ</w:t>
      </w:r>
      <w:r w:rsidR="00246044" w:rsidRPr="00CA4F74">
        <w:t xml:space="preserve">rej wzór stanowi </w:t>
      </w:r>
      <w:r w:rsidR="00246044" w:rsidRPr="00AD6621">
        <w:rPr>
          <w:u w:val="single"/>
        </w:rPr>
        <w:t>załącznik nr 11</w:t>
      </w:r>
      <w:r w:rsidR="004F2BBE" w:rsidRPr="00AD6621">
        <w:rPr>
          <w:u w:val="single"/>
        </w:rPr>
        <w:t>.</w:t>
      </w:r>
    </w:p>
    <w:p w14:paraId="7162275D" w14:textId="2792D19B" w:rsidR="00B662C7" w:rsidRPr="00E071B5" w:rsidRDefault="00B662C7" w:rsidP="00E071B5">
      <w:pPr>
        <w:pStyle w:val="Akapitzlist"/>
        <w:numPr>
          <w:ilvl w:val="0"/>
          <w:numId w:val="8"/>
        </w:numPr>
      </w:pPr>
      <w:r w:rsidRPr="00B662C7">
        <w:t xml:space="preserve">Szczegółowe zasady postępowania ze zbiorami przetwarzanymi elektronicznie określa </w:t>
      </w:r>
      <w:r w:rsidR="00E071B5">
        <w:t>§12 Zabezpieczenie systemu informatycznego.</w:t>
      </w:r>
    </w:p>
    <w:p w14:paraId="5F7E4BD9" w14:textId="29E1E4E6" w:rsidR="005F7331" w:rsidRDefault="005F7331" w:rsidP="005F7331"/>
    <w:p w14:paraId="5D82F450" w14:textId="77777777" w:rsidR="000973A2" w:rsidRDefault="00C56416" w:rsidP="00C56416">
      <w:pPr>
        <w:jc w:val="center"/>
        <w:rPr>
          <w:b/>
        </w:rPr>
      </w:pPr>
      <w:r>
        <w:rPr>
          <w:b/>
        </w:rPr>
        <w:t xml:space="preserve">§11 </w:t>
      </w:r>
    </w:p>
    <w:p w14:paraId="7F008AB5" w14:textId="0D825EFE" w:rsidR="005F7331" w:rsidRPr="00C56416" w:rsidRDefault="005F7331" w:rsidP="00C56416">
      <w:pPr>
        <w:jc w:val="center"/>
        <w:rPr>
          <w:b/>
        </w:rPr>
      </w:pPr>
      <w:r w:rsidRPr="00C56416">
        <w:rPr>
          <w:b/>
        </w:rPr>
        <w:t>Udostępnianie danych</w:t>
      </w:r>
    </w:p>
    <w:p w14:paraId="77106563" w14:textId="38ECF2BD" w:rsidR="00937B29" w:rsidRDefault="006C4481" w:rsidP="00FC0030">
      <w:pPr>
        <w:pStyle w:val="Akapitzlist"/>
        <w:numPr>
          <w:ilvl w:val="0"/>
          <w:numId w:val="29"/>
        </w:numPr>
      </w:pPr>
      <w:r>
        <w:t>Hospicjum</w:t>
      </w:r>
      <w:r w:rsidR="00937B29">
        <w:t xml:space="preserve"> </w:t>
      </w:r>
      <w:r w:rsidR="005F7331" w:rsidRPr="005F7331">
        <w:t>udostępnia dane osobowe jedynie na podstawie obowiązujących przepisów prawa i w granicach prawa.</w:t>
      </w:r>
    </w:p>
    <w:p w14:paraId="76DA257E" w14:textId="77777777" w:rsidR="00937B29" w:rsidRDefault="005F7331" w:rsidP="00FC0030">
      <w:pPr>
        <w:pStyle w:val="Akapitzlist"/>
        <w:numPr>
          <w:ilvl w:val="0"/>
          <w:numId w:val="29"/>
        </w:numPr>
      </w:pPr>
      <w:r w:rsidRPr="005F7331">
        <w:t>Dane osobowe pacjentów, które znajdują się w dokumentacji medycznej są udostępniane na zasadach, w trybie i na sposób określony w przepisach art. 26 i 27 ustawy o prawach pacjenta i Rzeczniku Praw Pacjenta.</w:t>
      </w:r>
    </w:p>
    <w:p w14:paraId="11D452BD" w14:textId="71CB9391" w:rsidR="00937B29" w:rsidRPr="00DF3848" w:rsidRDefault="005F7331" w:rsidP="00FC0030">
      <w:pPr>
        <w:pStyle w:val="Akapitzlist"/>
        <w:numPr>
          <w:ilvl w:val="0"/>
          <w:numId w:val="29"/>
        </w:numPr>
      </w:pPr>
      <w:r w:rsidRPr="005F7331">
        <w:t>Ewidencja udostępnionej dokumentacji medycznej prowadzona jest na podstawie art. 27 ust. 4 ustawy o prawach pacjenta i Rzeczniku Praw Pacjenta i zawiera, co najmniej: imię (imiona) i nazwisko pacjenta, którego dotyczy dokumentacja medyczna, sposób udostępnienia dokumentacji medycznej;, zakres udostępnionej dokumentacji medycznej, imię (imiona) i nazwisko osoby innej niż pacjent, której została udostępniona dokumentacja medyczna, a w przypadkach, o których mowa w</w:t>
      </w:r>
      <w:r w:rsidRPr="00937B29">
        <w:rPr>
          <w:b/>
          <w:bCs/>
        </w:rPr>
        <w:t> </w:t>
      </w:r>
      <w:r w:rsidRPr="00937B29">
        <w:rPr>
          <w:bCs/>
        </w:rPr>
        <w:t>art. 26</w:t>
      </w:r>
      <w:r w:rsidRPr="005F7331">
        <w:t> </w:t>
      </w:r>
      <w:r w:rsidRPr="00937B29">
        <w:rPr>
          <w:i/>
          <w:iCs/>
        </w:rPr>
        <w:t>udostępnianie dokumentacji medycznej</w:t>
      </w:r>
      <w:r w:rsidRPr="005F7331">
        <w:t xml:space="preserve"> ust. 3 i 4, także nazwę uprawnionego organu lub podmiotu, imię (imiona) i nazwisko oraz podpis osoby, która udostępniła dokumentację medyczną, datę </w:t>
      </w:r>
      <w:r w:rsidRPr="00DF3848">
        <w:t>udost</w:t>
      </w:r>
      <w:r w:rsidR="009A093F" w:rsidRPr="00DF3848">
        <w:t>ępnienia dokumentacji medycznej, podpis przyjmującego dokumentację medyczną.</w:t>
      </w:r>
    </w:p>
    <w:p w14:paraId="016DE14C" w14:textId="6A8D5623" w:rsidR="00EC2E10" w:rsidRPr="00DF3848" w:rsidRDefault="005F7331" w:rsidP="00DF3848">
      <w:pPr>
        <w:pStyle w:val="Akapitzlist"/>
        <w:numPr>
          <w:ilvl w:val="0"/>
          <w:numId w:val="29"/>
        </w:numPr>
        <w:shd w:val="clear" w:color="auto" w:fill="FFFFFF" w:themeFill="background1"/>
      </w:pPr>
      <w:r w:rsidRPr="00DF3848">
        <w:t xml:space="preserve">Wzór </w:t>
      </w:r>
      <w:r w:rsidR="00DF3848" w:rsidRPr="00DF3848">
        <w:t>wykazu</w:t>
      </w:r>
      <w:r w:rsidR="00937B29" w:rsidRPr="00DF3848">
        <w:t>, o któr</w:t>
      </w:r>
      <w:r w:rsidR="00DF3848" w:rsidRPr="00DF3848">
        <w:t>ym</w:t>
      </w:r>
      <w:r w:rsidR="00937B29" w:rsidRPr="00DF3848">
        <w:t xml:space="preserve"> mowa w ustępie 3 niniejszego paragrafu</w:t>
      </w:r>
      <w:r w:rsidRPr="00DF3848">
        <w:t xml:space="preserve"> </w:t>
      </w:r>
      <w:r w:rsidR="0074133C" w:rsidRPr="00DF3848">
        <w:t xml:space="preserve">stanowi </w:t>
      </w:r>
      <w:r w:rsidR="0074133C" w:rsidRPr="00AD6621">
        <w:rPr>
          <w:u w:val="single"/>
        </w:rPr>
        <w:t>załącznik nr 10</w:t>
      </w:r>
      <w:r w:rsidR="00A14036" w:rsidRPr="00DF3848">
        <w:t>.</w:t>
      </w:r>
    </w:p>
    <w:p w14:paraId="1DEB662D" w14:textId="2F32FE54" w:rsidR="00EC2E10" w:rsidRDefault="006C4481" w:rsidP="00FC0030">
      <w:pPr>
        <w:pStyle w:val="Akapitzlist"/>
        <w:numPr>
          <w:ilvl w:val="0"/>
          <w:numId w:val="29"/>
        </w:numPr>
      </w:pPr>
      <w:r>
        <w:t>Hospicjum</w:t>
      </w:r>
      <w:r w:rsidR="005F7331" w:rsidRPr="005F7331">
        <w:t xml:space="preserve"> udostępnia również dane, na podstawie innych przepisów</w:t>
      </w:r>
      <w:r w:rsidR="00EC2E10">
        <w:t xml:space="preserve"> prawa</w:t>
      </w:r>
      <w:r w:rsidR="005F7331" w:rsidRPr="005F7331">
        <w:t xml:space="preserve"> niż</w:t>
      </w:r>
      <w:r w:rsidR="00EC2E10">
        <w:t xml:space="preserve"> te, o których mowa w ustępie 2 niniejszego paragrafu</w:t>
      </w:r>
      <w:r w:rsidR="005F7331" w:rsidRPr="005F7331">
        <w:t xml:space="preserve"> jedynie na pisem</w:t>
      </w:r>
      <w:r w:rsidR="00EC2E10">
        <w:t>ny wniosek i za potwierdzeniem</w:t>
      </w:r>
      <w:r w:rsidR="00FE0D38">
        <w:t xml:space="preserve"> </w:t>
      </w:r>
      <w:r w:rsidR="004E48D4">
        <w:t>wydania / odbioru</w:t>
      </w:r>
      <w:r w:rsidR="00EC2E10">
        <w:t>.</w:t>
      </w:r>
    </w:p>
    <w:p w14:paraId="3F7F0D0D" w14:textId="0F306231" w:rsidR="00E813D4" w:rsidRDefault="006C4481" w:rsidP="00FC0030">
      <w:pPr>
        <w:pStyle w:val="Akapitzlist"/>
        <w:numPr>
          <w:ilvl w:val="0"/>
          <w:numId w:val="29"/>
        </w:numPr>
      </w:pPr>
      <w:r>
        <w:t>Hospicjum</w:t>
      </w:r>
      <w:r w:rsidR="00D44C76">
        <w:t xml:space="preserve"> </w:t>
      </w:r>
      <w:r w:rsidR="005F7331" w:rsidRPr="005F7331">
        <w:t>przekazując dane drogą pocztową przekazuje je listem poleconym za po</w:t>
      </w:r>
      <w:r w:rsidR="00EC2E10">
        <w:t>twierdzeniem odbioru.</w:t>
      </w:r>
    </w:p>
    <w:p w14:paraId="5A170EC4" w14:textId="3885A3A4" w:rsidR="005F7331" w:rsidRDefault="005F7331" w:rsidP="00FC0030">
      <w:pPr>
        <w:pStyle w:val="Akapitzlist"/>
        <w:numPr>
          <w:ilvl w:val="0"/>
          <w:numId w:val="29"/>
        </w:numPr>
      </w:pPr>
      <w:r w:rsidRPr="005F7331">
        <w:lastRenderedPageBreak/>
        <w:t>W przypadku udostępniania dokumentów za pomocą korespondencji mailowej podmiot ma obowiąze</w:t>
      </w:r>
      <w:r w:rsidR="00047A50">
        <w:t>k szyfrować przekazywane plik</w:t>
      </w:r>
      <w:r w:rsidR="006C4481">
        <w:t>i</w:t>
      </w:r>
      <w:r w:rsidR="00047A50">
        <w:t>.</w:t>
      </w:r>
      <w:r w:rsidRPr="005F7331">
        <w:t xml:space="preserve"> </w:t>
      </w:r>
    </w:p>
    <w:p w14:paraId="720A3874" w14:textId="77777777" w:rsidR="00C76BB5" w:rsidRPr="00B662C7" w:rsidRDefault="00C76BB5" w:rsidP="00C76BB5">
      <w:pPr>
        <w:pStyle w:val="Akapitzlist"/>
      </w:pPr>
    </w:p>
    <w:p w14:paraId="4B392735" w14:textId="77777777" w:rsidR="000973A2" w:rsidRDefault="00465135" w:rsidP="00C76BB5">
      <w:pPr>
        <w:jc w:val="center"/>
        <w:rPr>
          <w:b/>
        </w:rPr>
      </w:pPr>
      <w:r>
        <w:rPr>
          <w:b/>
        </w:rPr>
        <w:t>§12</w:t>
      </w:r>
    </w:p>
    <w:p w14:paraId="662BE054" w14:textId="03E38A31" w:rsidR="00C76BB5" w:rsidRDefault="00392798" w:rsidP="00C76BB5">
      <w:pPr>
        <w:jc w:val="center"/>
        <w:rPr>
          <w:b/>
        </w:rPr>
      </w:pPr>
      <w:r>
        <w:rPr>
          <w:b/>
        </w:rPr>
        <w:t xml:space="preserve"> </w:t>
      </w:r>
      <w:r w:rsidR="00301D85">
        <w:rPr>
          <w:b/>
        </w:rPr>
        <w:t>Zabezpieczenie</w:t>
      </w:r>
      <w:r>
        <w:rPr>
          <w:b/>
        </w:rPr>
        <w:t xml:space="preserve"> systemu informatycznego</w:t>
      </w:r>
    </w:p>
    <w:p w14:paraId="336900CE" w14:textId="794F144D" w:rsidR="00B662C7" w:rsidRPr="002C0A3B" w:rsidRDefault="00F16462" w:rsidP="00F16462">
      <w:pPr>
        <w:pStyle w:val="Akapitzlist"/>
        <w:numPr>
          <w:ilvl w:val="0"/>
          <w:numId w:val="9"/>
        </w:numPr>
      </w:pPr>
      <w:r>
        <w:t>O</w:t>
      </w:r>
      <w:r w:rsidR="00B662C7" w:rsidRPr="002C0A3B">
        <w:t>bsług</w:t>
      </w:r>
      <w:r>
        <w:t>a</w:t>
      </w:r>
      <w:r w:rsidR="00B662C7" w:rsidRPr="002C0A3B">
        <w:t xml:space="preserve"> i zabezpieczeni</w:t>
      </w:r>
      <w:r>
        <w:t>e</w:t>
      </w:r>
      <w:r w:rsidR="00B662C7" w:rsidRPr="002C0A3B">
        <w:t xml:space="preserve"> systemu informatycznego Administrator danych </w:t>
      </w:r>
      <w:r>
        <w:t xml:space="preserve">zleca </w:t>
      </w:r>
      <w:r w:rsidRPr="00F16462">
        <w:t xml:space="preserve">następujący zakres zadań </w:t>
      </w:r>
      <w:r>
        <w:t xml:space="preserve">specjaliście </w:t>
      </w:r>
      <w:r w:rsidR="00E071B5">
        <w:t>IT</w:t>
      </w:r>
      <w:r w:rsidR="00E071B5" w:rsidRPr="002C0A3B">
        <w:t>:</w:t>
      </w:r>
    </w:p>
    <w:p w14:paraId="4C99EA2D" w14:textId="77777777" w:rsidR="002C0A3B" w:rsidRDefault="00B662C7" w:rsidP="00FC0030">
      <w:pPr>
        <w:pStyle w:val="Akapitzlist"/>
        <w:numPr>
          <w:ilvl w:val="0"/>
          <w:numId w:val="10"/>
        </w:numPr>
      </w:pPr>
      <w:r w:rsidRPr="00B662C7">
        <w:t>prowadzenie monitoringu przetwarzania danych,</w:t>
      </w:r>
    </w:p>
    <w:p w14:paraId="5C367491" w14:textId="77777777" w:rsidR="002C0A3B" w:rsidRDefault="00B662C7" w:rsidP="00FC0030">
      <w:pPr>
        <w:pStyle w:val="Akapitzlist"/>
        <w:numPr>
          <w:ilvl w:val="0"/>
          <w:numId w:val="10"/>
        </w:numPr>
      </w:pPr>
      <w:r w:rsidRPr="00B662C7">
        <w:t>administrowanie systemem informatycznym,</w:t>
      </w:r>
    </w:p>
    <w:p w14:paraId="253AC272" w14:textId="5DB7195D" w:rsidR="002C0A3B" w:rsidRDefault="00B662C7" w:rsidP="00FC0030">
      <w:pPr>
        <w:pStyle w:val="Akapitzlist"/>
        <w:numPr>
          <w:ilvl w:val="0"/>
          <w:numId w:val="10"/>
        </w:numPr>
      </w:pPr>
      <w:r w:rsidRPr="00B662C7">
        <w:t>nadawanie</w:t>
      </w:r>
      <w:r w:rsidR="009B721E">
        <w:t xml:space="preserve"> i aktualizowanie </w:t>
      </w:r>
      <w:r w:rsidRPr="00B662C7">
        <w:t xml:space="preserve"> uprawnień użytkownikom</w:t>
      </w:r>
      <w:r w:rsidR="00DD1EDA">
        <w:t xml:space="preserve"> do systemu informatycznego</w:t>
      </w:r>
      <w:r w:rsidRPr="00B662C7">
        <w:t>,</w:t>
      </w:r>
    </w:p>
    <w:p w14:paraId="7B486930" w14:textId="77777777" w:rsidR="002C0A3B" w:rsidRDefault="00B662C7" w:rsidP="00FC0030">
      <w:pPr>
        <w:pStyle w:val="Akapitzlist"/>
        <w:numPr>
          <w:ilvl w:val="0"/>
          <w:numId w:val="10"/>
        </w:numPr>
      </w:pPr>
      <w:r w:rsidRPr="00B662C7">
        <w:t>stosowanie środków ochrony w ramach oprogramowania użytkowego, systemów operacyjnych, urządzeń teletransmisyjnych, programów antywirusowych oraz ochrony sprzętowej,</w:t>
      </w:r>
    </w:p>
    <w:p w14:paraId="626E8BD4" w14:textId="77777777" w:rsidR="002C0A3B" w:rsidRDefault="00B662C7" w:rsidP="00FC0030">
      <w:pPr>
        <w:pStyle w:val="Akapitzlist"/>
        <w:numPr>
          <w:ilvl w:val="0"/>
          <w:numId w:val="10"/>
        </w:numPr>
      </w:pPr>
      <w:r w:rsidRPr="00B662C7">
        <w:t>kontrola mechanizmów uwierzytelniania użytkowników w systemie informatycznym przetwarzającym dane osobowe oraz kontrola dostępu do danych osobowych,</w:t>
      </w:r>
    </w:p>
    <w:p w14:paraId="4809CA61" w14:textId="77777777" w:rsidR="002C0A3B" w:rsidRDefault="002C0A3B" w:rsidP="00FC0030">
      <w:pPr>
        <w:pStyle w:val="Akapitzlist"/>
        <w:numPr>
          <w:ilvl w:val="0"/>
          <w:numId w:val="10"/>
        </w:numPr>
      </w:pPr>
      <w:r>
        <w:t>kontrola systemu antywirusowego,</w:t>
      </w:r>
    </w:p>
    <w:p w14:paraId="6A875CDC" w14:textId="77777777" w:rsidR="002C0A3B" w:rsidRDefault="00B662C7" w:rsidP="00FC0030">
      <w:pPr>
        <w:pStyle w:val="Akapitzlist"/>
        <w:numPr>
          <w:ilvl w:val="0"/>
          <w:numId w:val="10"/>
        </w:numPr>
      </w:pPr>
      <w:r w:rsidRPr="00B662C7">
        <w:t>kontrola awaryjnego zasilania komputerów,</w:t>
      </w:r>
    </w:p>
    <w:p w14:paraId="0FAF80F5" w14:textId="77777777" w:rsidR="002C0A3B" w:rsidRDefault="00B662C7" w:rsidP="00FC0030">
      <w:pPr>
        <w:pStyle w:val="Akapitzlist"/>
        <w:numPr>
          <w:ilvl w:val="0"/>
          <w:numId w:val="10"/>
        </w:numPr>
      </w:pPr>
      <w:r w:rsidRPr="00B662C7">
        <w:t>kontrola i wykonywanie kopii awaryjnych,</w:t>
      </w:r>
    </w:p>
    <w:p w14:paraId="43F39596" w14:textId="2B3D5FA3" w:rsidR="002C0A3B" w:rsidRDefault="00B662C7" w:rsidP="00FC0030">
      <w:pPr>
        <w:pStyle w:val="Akapitzlist"/>
        <w:numPr>
          <w:ilvl w:val="0"/>
          <w:numId w:val="10"/>
        </w:numPr>
      </w:pPr>
      <w:r w:rsidRPr="00B662C7">
        <w:t>konserwacja oraz uaktual</w:t>
      </w:r>
      <w:r w:rsidR="002C0A3B">
        <w:t>nienia systemów informatycznych,</w:t>
      </w:r>
    </w:p>
    <w:p w14:paraId="6C8AAACE" w14:textId="2111EF90" w:rsidR="00EB3EA3" w:rsidRPr="009B721E" w:rsidRDefault="009B721E" w:rsidP="00FC0030">
      <w:pPr>
        <w:pStyle w:val="Akapitzlist"/>
        <w:numPr>
          <w:ilvl w:val="0"/>
          <w:numId w:val="10"/>
        </w:numPr>
        <w:rPr>
          <w:u w:val="single"/>
        </w:rPr>
      </w:pPr>
      <w:r>
        <w:t xml:space="preserve">prowadzenie </w:t>
      </w:r>
      <w:r w:rsidR="00EB3EA3">
        <w:t>ewidencj</w:t>
      </w:r>
      <w:r>
        <w:t>i</w:t>
      </w:r>
      <w:r w:rsidR="00EB3EA3">
        <w:t xml:space="preserve"> elektronicznych nośników przetwarzania danych osobowych wg</w:t>
      </w:r>
      <w:r w:rsidR="004009D6">
        <w:t xml:space="preserve"> </w:t>
      </w:r>
      <w:r w:rsidR="00EB3EA3">
        <w:t xml:space="preserve"> </w:t>
      </w:r>
      <w:r w:rsidR="00EB3EA3" w:rsidRPr="009B721E">
        <w:rPr>
          <w:u w:val="single"/>
        </w:rPr>
        <w:t>załącznika nr 1</w:t>
      </w:r>
      <w:r w:rsidR="0084181E">
        <w:rPr>
          <w:u w:val="single"/>
        </w:rPr>
        <w:t>3</w:t>
      </w:r>
    </w:p>
    <w:p w14:paraId="22E26E31" w14:textId="77777777" w:rsidR="002C0A3B" w:rsidRDefault="00B662C7" w:rsidP="00FC0030">
      <w:pPr>
        <w:pStyle w:val="Akapitzlist"/>
        <w:numPr>
          <w:ilvl w:val="0"/>
          <w:numId w:val="10"/>
        </w:numPr>
      </w:pPr>
      <w:r w:rsidRPr="00B662C7">
        <w:t>informowanie na bieżąco ADO o przypadkach awarii programowych wynikających z posługiwania się przez użytkowników nieautoryzowanym oprogramowaniem, nie przestrzegania zasad używania programów antywirusowych, niewłaściwego wykorzystywania sprzętu komputerowego,</w:t>
      </w:r>
    </w:p>
    <w:p w14:paraId="0C0A5990" w14:textId="63AA19B4" w:rsidR="00B662C7" w:rsidRPr="00B662C7" w:rsidRDefault="00B662C7" w:rsidP="00FC0030">
      <w:pPr>
        <w:pStyle w:val="Akapitzlist"/>
        <w:numPr>
          <w:ilvl w:val="0"/>
          <w:numId w:val="10"/>
        </w:numPr>
      </w:pPr>
      <w:r w:rsidRPr="00B662C7">
        <w:t>przedstawianie Administratorowi danych, nie rzadziej niż raz na rok, kompleksowej analizy przetwarzania danych osobowych w systemem informatycznym oraz ewentualne potrzeby w zakresie zabezpieczeń.</w:t>
      </w:r>
    </w:p>
    <w:p w14:paraId="6E854E2D" w14:textId="6371D850" w:rsidR="00070CB4" w:rsidRDefault="00B662C7" w:rsidP="00B662C7">
      <w:pPr>
        <w:pStyle w:val="Akapitzlist"/>
        <w:numPr>
          <w:ilvl w:val="0"/>
          <w:numId w:val="9"/>
        </w:numPr>
      </w:pPr>
      <w:r w:rsidRPr="00B662C7">
        <w:t xml:space="preserve">Wszystkie zapisy w dokumentacji, które odwołują się do </w:t>
      </w:r>
      <w:r w:rsidR="00F16462">
        <w:t>systemu informatycznego</w:t>
      </w:r>
      <w:r w:rsidRPr="00B662C7">
        <w:t xml:space="preserve"> są rozumiane jako zapisy </w:t>
      </w:r>
      <w:r w:rsidR="00F16462">
        <w:t xml:space="preserve">dotyczące </w:t>
      </w:r>
      <w:r w:rsidRPr="00B662C7">
        <w:t>ADO.</w:t>
      </w:r>
    </w:p>
    <w:p w14:paraId="218457AC" w14:textId="77777777" w:rsidR="000973A2" w:rsidRDefault="000973A2" w:rsidP="000973A2">
      <w:pPr>
        <w:pStyle w:val="Akapitzlist"/>
      </w:pPr>
    </w:p>
    <w:p w14:paraId="62D80379" w14:textId="77777777" w:rsidR="000973A2" w:rsidRDefault="000A616B" w:rsidP="009A5403">
      <w:pPr>
        <w:jc w:val="center"/>
        <w:rPr>
          <w:b/>
        </w:rPr>
      </w:pPr>
      <w:bookmarkStart w:id="8" w:name="_Hlk512637754"/>
      <w:r w:rsidRPr="006E2720">
        <w:rPr>
          <w:b/>
        </w:rPr>
        <w:t>§</w:t>
      </w:r>
      <w:r w:rsidR="009A5403" w:rsidRPr="006E2720">
        <w:rPr>
          <w:b/>
        </w:rPr>
        <w:t xml:space="preserve">13 </w:t>
      </w:r>
      <w:bookmarkEnd w:id="8"/>
    </w:p>
    <w:p w14:paraId="2E334714" w14:textId="6AA1F8F0" w:rsidR="00FD181D" w:rsidRPr="006E2720" w:rsidRDefault="009A5403" w:rsidP="009A5403">
      <w:pPr>
        <w:jc w:val="center"/>
        <w:rPr>
          <w:b/>
        </w:rPr>
      </w:pPr>
      <w:r w:rsidRPr="006E2720">
        <w:rPr>
          <w:b/>
        </w:rPr>
        <w:t>Zarządzanie ryzykiem w</w:t>
      </w:r>
      <w:r w:rsidR="00F16462">
        <w:rPr>
          <w:b/>
        </w:rPr>
        <w:t xml:space="preserve"> Hospicjum</w:t>
      </w:r>
    </w:p>
    <w:p w14:paraId="318A5A8C" w14:textId="77777777" w:rsidR="009A5403" w:rsidRPr="009A5403" w:rsidRDefault="009A5403" w:rsidP="00FC0030">
      <w:pPr>
        <w:pStyle w:val="Akapitzlist"/>
        <w:numPr>
          <w:ilvl w:val="0"/>
          <w:numId w:val="31"/>
        </w:numPr>
      </w:pPr>
      <w:r w:rsidRPr="009A5403">
        <w:t>W podmiocie</w:t>
      </w:r>
      <w:r w:rsidR="00FD181D" w:rsidRPr="009A5403">
        <w:t xml:space="preserve"> przeprowadzana jest analiza ryzyka. Analiza ryzyka może odbywać się dla wszystkich wyodrębnionych zbiorów danych osobowych lub dla procesów przetwarzania.</w:t>
      </w:r>
    </w:p>
    <w:p w14:paraId="5AC7498D" w14:textId="77777777" w:rsidR="009A5403" w:rsidRPr="009A5403" w:rsidRDefault="00FD181D" w:rsidP="00FC0030">
      <w:pPr>
        <w:pStyle w:val="Akapitzlist"/>
        <w:numPr>
          <w:ilvl w:val="0"/>
          <w:numId w:val="31"/>
        </w:numPr>
      </w:pPr>
      <w:r w:rsidRPr="009A5403">
        <w:t>Analiza ryzyka przeprowadzana jest w celu określenia, oceny i minimalizacji zagrożeń, których efektem ma być wdrożenie optymalnych i adekwatnych zabezpieczeń.</w:t>
      </w:r>
    </w:p>
    <w:p w14:paraId="7A8CF04D" w14:textId="4195416C" w:rsidR="00442C0E" w:rsidRPr="00220F46" w:rsidRDefault="00FD181D" w:rsidP="004D578F">
      <w:pPr>
        <w:pStyle w:val="Akapitzlist"/>
        <w:numPr>
          <w:ilvl w:val="0"/>
          <w:numId w:val="31"/>
        </w:numPr>
        <w:rPr>
          <w:color w:val="FF0000"/>
        </w:rPr>
      </w:pPr>
      <w:r w:rsidRPr="009A5403">
        <w:t>Analiza ryzyka przeprowadzona jest corocznie, nie później niż do dnia 31 marca</w:t>
      </w:r>
      <w:r w:rsidR="00E07A99">
        <w:t xml:space="preserve"> dla wszystkich czynności przetwarzania</w:t>
      </w:r>
      <w:r w:rsidRPr="009A5403">
        <w:t xml:space="preserve"> lub w przypadku wprowadzenia nowych procedur lub rozwiązań organizacyjnych w podmiocie leczniczym,</w:t>
      </w:r>
      <w:r w:rsidR="00396BE7">
        <w:t xml:space="preserve"> zgodnie z </w:t>
      </w:r>
      <w:bookmarkStart w:id="9" w:name="_Hlk512803229"/>
      <w:r w:rsidR="00396BE7">
        <w:t>odrębną procedurą przyjętą przez Praktykę.</w:t>
      </w:r>
      <w:bookmarkEnd w:id="9"/>
    </w:p>
    <w:p w14:paraId="75CDC42D" w14:textId="57B2B338" w:rsidR="00220F46" w:rsidRPr="009170B5" w:rsidRDefault="00220F46" w:rsidP="00220F46">
      <w:pPr>
        <w:pStyle w:val="Akapitzlist"/>
        <w:numPr>
          <w:ilvl w:val="0"/>
          <w:numId w:val="31"/>
        </w:numPr>
        <w:rPr>
          <w:u w:val="single"/>
        </w:rPr>
      </w:pPr>
      <w:r w:rsidRPr="00220F46">
        <w:t xml:space="preserve">Analizę ryzyka przetwarzania danych osobowych charakteryzuje </w:t>
      </w:r>
      <w:r w:rsidRPr="009170B5">
        <w:rPr>
          <w:u w:val="single"/>
        </w:rPr>
        <w:t>załącznik nr 9.1</w:t>
      </w:r>
    </w:p>
    <w:p w14:paraId="15FBAC85" w14:textId="77777777" w:rsidR="00220F46" w:rsidRPr="004D578F" w:rsidRDefault="00220F46" w:rsidP="00220F46">
      <w:pPr>
        <w:pStyle w:val="Akapitzlist"/>
        <w:rPr>
          <w:color w:val="FF0000"/>
        </w:rPr>
      </w:pPr>
    </w:p>
    <w:p w14:paraId="1C7E7074" w14:textId="77777777" w:rsidR="000973A2" w:rsidRPr="00F16462" w:rsidRDefault="000973A2" w:rsidP="000973A2">
      <w:pPr>
        <w:pStyle w:val="Akapitzlist"/>
        <w:rPr>
          <w:color w:val="FF0000"/>
        </w:rPr>
      </w:pPr>
    </w:p>
    <w:p w14:paraId="551F8EE4" w14:textId="77777777" w:rsidR="006F0995" w:rsidRDefault="006F0995" w:rsidP="009A5403">
      <w:pPr>
        <w:jc w:val="center"/>
        <w:rPr>
          <w:b/>
        </w:rPr>
      </w:pPr>
      <w:bookmarkStart w:id="10" w:name="_Hlk512638237"/>
    </w:p>
    <w:p w14:paraId="66B5B1C6" w14:textId="297DAB40" w:rsidR="000973A2" w:rsidRDefault="00A67EA0" w:rsidP="009A5403">
      <w:pPr>
        <w:jc w:val="center"/>
        <w:rPr>
          <w:b/>
        </w:rPr>
      </w:pPr>
      <w:bookmarkStart w:id="11" w:name="_GoBack"/>
      <w:bookmarkEnd w:id="11"/>
      <w:r>
        <w:rPr>
          <w:b/>
        </w:rPr>
        <w:lastRenderedPageBreak/>
        <w:t>§14</w:t>
      </w:r>
    </w:p>
    <w:bookmarkEnd w:id="10"/>
    <w:p w14:paraId="003B9070" w14:textId="66B696F8" w:rsidR="00357A90" w:rsidRPr="00855741" w:rsidRDefault="00855741" w:rsidP="00357A90">
      <w:pPr>
        <w:pStyle w:val="Akapitzlist"/>
        <w:numPr>
          <w:ilvl w:val="0"/>
          <w:numId w:val="33"/>
        </w:numPr>
      </w:pPr>
      <w:r w:rsidRPr="00855741">
        <w:t>Inspektor Ochrony Danych Osobowych</w:t>
      </w:r>
    </w:p>
    <w:p w14:paraId="7BAC27FD" w14:textId="66F3B807" w:rsidR="00855741" w:rsidRPr="0084181E" w:rsidRDefault="00855741" w:rsidP="0084181E">
      <w:pPr>
        <w:pStyle w:val="Tekstpodstawowy"/>
        <w:widowControl w:val="0"/>
        <w:spacing w:line="240" w:lineRule="auto"/>
        <w:rPr>
          <w:rFonts w:ascii="Cambria" w:eastAsia="Arial" w:hAnsi="Cambria"/>
          <w:kern w:val="1"/>
          <w:sz w:val="22"/>
          <w:szCs w:val="22"/>
        </w:rPr>
      </w:pPr>
      <w:r w:rsidRPr="0084181E">
        <w:rPr>
          <w:rFonts w:ascii="Cambria" w:hAnsi="Cambria"/>
          <w:sz w:val="22"/>
          <w:szCs w:val="22"/>
        </w:rPr>
        <w:t xml:space="preserve">Administrator nie powołuje  </w:t>
      </w:r>
      <w:r w:rsidRPr="0084181E">
        <w:rPr>
          <w:rFonts w:ascii="Cambria" w:eastAsia="Arial" w:hAnsi="Cambria"/>
          <w:b/>
          <w:kern w:val="1"/>
          <w:sz w:val="22"/>
          <w:szCs w:val="22"/>
        </w:rPr>
        <w:t>Inspektora Ochrony Danych</w:t>
      </w:r>
      <w:r w:rsidRPr="0084181E">
        <w:rPr>
          <w:rFonts w:ascii="Cambria" w:eastAsia="Arial" w:hAnsi="Cambria"/>
          <w:kern w:val="1"/>
          <w:sz w:val="22"/>
          <w:szCs w:val="22"/>
        </w:rPr>
        <w:t>, mając na uwadze, że:</w:t>
      </w:r>
    </w:p>
    <w:p w14:paraId="168706A7" w14:textId="0CA799F5" w:rsidR="00855741" w:rsidRPr="0084181E" w:rsidRDefault="00855741" w:rsidP="0084181E">
      <w:pPr>
        <w:pStyle w:val="Tekstpodstawowy"/>
        <w:widowControl w:val="0"/>
        <w:spacing w:line="240" w:lineRule="auto"/>
        <w:ind w:left="1776"/>
        <w:jc w:val="both"/>
        <w:rPr>
          <w:rFonts w:ascii="Cambria" w:hAnsi="Cambria"/>
          <w:sz w:val="22"/>
          <w:szCs w:val="22"/>
        </w:rPr>
      </w:pPr>
      <w:r w:rsidRPr="0084181E">
        <w:rPr>
          <w:rFonts w:ascii="Cambria" w:hAnsi="Cambria"/>
          <w:sz w:val="22"/>
          <w:szCs w:val="22"/>
        </w:rPr>
        <w:t>-  nie jest podmiotem publicznym</w:t>
      </w:r>
    </w:p>
    <w:p w14:paraId="55170451" w14:textId="23EAC867" w:rsidR="00855741" w:rsidRPr="0084181E" w:rsidRDefault="00855741" w:rsidP="0084181E">
      <w:pPr>
        <w:pStyle w:val="Tekstpodstawowy"/>
        <w:widowControl w:val="0"/>
        <w:spacing w:line="240" w:lineRule="auto"/>
        <w:ind w:left="1776"/>
        <w:jc w:val="both"/>
        <w:rPr>
          <w:rFonts w:ascii="Cambria" w:hAnsi="Cambria"/>
          <w:sz w:val="22"/>
          <w:szCs w:val="22"/>
        </w:rPr>
      </w:pPr>
      <w:r w:rsidRPr="0084181E">
        <w:rPr>
          <w:rFonts w:ascii="Cambria" w:hAnsi="Cambria"/>
          <w:sz w:val="22"/>
          <w:szCs w:val="22"/>
        </w:rPr>
        <w:t>- główna działalność Administratora nie polega na operacjach przetwarzania, które ze względu na swój charakter, zakres lub cele wymagałyby regularnego i systematycznego monitorowania osób, których dane dotyczą, na dużą skalę</w:t>
      </w:r>
    </w:p>
    <w:p w14:paraId="6F0D747C" w14:textId="77777777" w:rsidR="00855741" w:rsidRPr="0084181E" w:rsidRDefault="00855741" w:rsidP="0084181E">
      <w:pPr>
        <w:pStyle w:val="Tekstpodstawowy"/>
        <w:widowControl w:val="0"/>
        <w:spacing w:line="240" w:lineRule="auto"/>
        <w:ind w:left="1776"/>
        <w:jc w:val="both"/>
        <w:rPr>
          <w:rFonts w:ascii="Cambria" w:hAnsi="Cambria"/>
          <w:sz w:val="22"/>
          <w:szCs w:val="22"/>
        </w:rPr>
      </w:pPr>
      <w:r w:rsidRPr="0084181E">
        <w:rPr>
          <w:rFonts w:ascii="Cambria" w:hAnsi="Cambria"/>
          <w:sz w:val="22"/>
          <w:szCs w:val="22"/>
        </w:rPr>
        <w:t>ani też:</w:t>
      </w:r>
    </w:p>
    <w:p w14:paraId="723AA9D0" w14:textId="63781918" w:rsidR="00855741" w:rsidRPr="0084181E" w:rsidRDefault="00855741" w:rsidP="0084181E">
      <w:pPr>
        <w:pStyle w:val="Tekstpodstawowy"/>
        <w:widowControl w:val="0"/>
        <w:spacing w:line="240" w:lineRule="auto"/>
        <w:ind w:left="1776"/>
        <w:jc w:val="both"/>
        <w:rPr>
          <w:rFonts w:ascii="Cambria" w:eastAsia="Arial" w:hAnsi="Cambria"/>
          <w:kern w:val="1"/>
          <w:sz w:val="22"/>
          <w:szCs w:val="22"/>
        </w:rPr>
      </w:pPr>
      <w:r w:rsidRPr="0084181E">
        <w:rPr>
          <w:rFonts w:ascii="Cambria" w:hAnsi="Cambria"/>
          <w:sz w:val="22"/>
          <w:szCs w:val="22"/>
        </w:rPr>
        <w:t xml:space="preserve">- główna działalność Administratora nie polega na przetwarzaniu na dużą skalę szczególnych kategorii danych osobowych o szczególnym charakterze ani też danych dotyczących wyroków skazujących i naruszeń prawa. </w:t>
      </w:r>
    </w:p>
    <w:p w14:paraId="577245EC" w14:textId="77777777" w:rsidR="00855741" w:rsidRDefault="00855741" w:rsidP="0084181E"/>
    <w:p w14:paraId="3F63D7DC" w14:textId="77777777" w:rsidR="000973A2" w:rsidRPr="00F16462" w:rsidRDefault="000973A2" w:rsidP="00DC1399">
      <w:pPr>
        <w:ind w:left="1416"/>
      </w:pPr>
    </w:p>
    <w:p w14:paraId="4AF1DF48" w14:textId="0AB7A888" w:rsidR="000973A2" w:rsidRDefault="00A67EA0" w:rsidP="00357A90">
      <w:pPr>
        <w:jc w:val="center"/>
        <w:rPr>
          <w:b/>
        </w:rPr>
      </w:pPr>
      <w:r>
        <w:rPr>
          <w:b/>
        </w:rPr>
        <w:t>§15</w:t>
      </w:r>
    </w:p>
    <w:p w14:paraId="41882BB0" w14:textId="4A160CB2" w:rsidR="00183D1C" w:rsidRPr="00F95D41" w:rsidRDefault="00357A90" w:rsidP="00357A90">
      <w:pPr>
        <w:jc w:val="center"/>
        <w:rPr>
          <w:b/>
        </w:rPr>
      </w:pPr>
      <w:r w:rsidRPr="00F95D41">
        <w:rPr>
          <w:b/>
        </w:rPr>
        <w:t xml:space="preserve"> </w:t>
      </w:r>
      <w:r w:rsidR="00183D1C" w:rsidRPr="00F95D41">
        <w:rPr>
          <w:b/>
        </w:rPr>
        <w:t>Zasady postępowania w przypadku naruszenia systemu ochrony danych</w:t>
      </w:r>
    </w:p>
    <w:p w14:paraId="2000D316" w14:textId="0FE1A5BC" w:rsidR="00183D1C" w:rsidRPr="00995A42" w:rsidRDefault="00183D1C" w:rsidP="00FC0030">
      <w:pPr>
        <w:numPr>
          <w:ilvl w:val="0"/>
          <w:numId w:val="26"/>
        </w:numPr>
      </w:pPr>
      <w:r w:rsidRPr="00995A42">
        <w:t>Każda osoba, której Administrator wydał upoważnienie do przetwarzania danych osobowych, ma obowiązek natychmiastowego powiadamiania o występującym zagrożeniu lub wystąpieniu incydentu związanego z systemem ochrony danych o</w:t>
      </w:r>
      <w:r w:rsidR="003C0127" w:rsidRPr="00995A42">
        <w:t>sobowych w Praktyce</w:t>
      </w:r>
      <w:r w:rsidR="00D778D7" w:rsidRPr="00995A42">
        <w:t>.</w:t>
      </w:r>
      <w:r w:rsidRPr="00995A42">
        <w:t xml:space="preserve"> </w:t>
      </w:r>
    </w:p>
    <w:p w14:paraId="5AAEA5CB" w14:textId="77777777" w:rsidR="00183D1C" w:rsidRPr="00995A42" w:rsidRDefault="00183D1C" w:rsidP="00FC0030">
      <w:pPr>
        <w:numPr>
          <w:ilvl w:val="0"/>
          <w:numId w:val="26"/>
        </w:numPr>
      </w:pPr>
      <w:r w:rsidRPr="00995A42">
        <w:t xml:space="preserve">Powiadomienie to może mieć charakter ustny lub pisemny. </w:t>
      </w:r>
    </w:p>
    <w:p w14:paraId="791B3C6D" w14:textId="1418DE54" w:rsidR="00183D1C" w:rsidRPr="00995A42" w:rsidRDefault="00183D1C" w:rsidP="00FC0030">
      <w:pPr>
        <w:numPr>
          <w:ilvl w:val="0"/>
          <w:numId w:val="26"/>
        </w:numPr>
      </w:pPr>
      <w:r w:rsidRPr="00995A42">
        <w:t xml:space="preserve">Adresatem takiego powiadomienia jest </w:t>
      </w:r>
      <w:r w:rsidR="00F16462">
        <w:t>Administrator</w:t>
      </w:r>
      <w:r w:rsidRPr="00995A42">
        <w:t xml:space="preserve"> Danych Osobowych.</w:t>
      </w:r>
    </w:p>
    <w:p w14:paraId="24EA2014" w14:textId="573459CA" w:rsidR="00183D1C" w:rsidRPr="00995A42" w:rsidRDefault="00183D1C" w:rsidP="00FC0030">
      <w:pPr>
        <w:numPr>
          <w:ilvl w:val="0"/>
          <w:numId w:val="26"/>
        </w:numPr>
      </w:pPr>
      <w:r w:rsidRPr="00995A42">
        <w:t xml:space="preserve">Po otrzymaniu takiego powiadomienia </w:t>
      </w:r>
      <w:r w:rsidR="00F16462">
        <w:t>Administrator</w:t>
      </w:r>
      <w:r w:rsidRPr="00995A42">
        <w:t xml:space="preserve"> Danych Osobowych podejmuje niezwłocznie czynności w celu ustalenia stanu faktycznego.</w:t>
      </w:r>
    </w:p>
    <w:p w14:paraId="44DD6A1E" w14:textId="6ACD608A" w:rsidR="00183D1C" w:rsidRPr="00995A42" w:rsidRDefault="00183D1C" w:rsidP="00FC0030">
      <w:pPr>
        <w:numPr>
          <w:ilvl w:val="0"/>
          <w:numId w:val="26"/>
        </w:numPr>
      </w:pPr>
      <w:r w:rsidRPr="00995A42">
        <w:t>W przypadku uzasadnionego podejrzenia wystąpienia incydentu lub naruszenia systemu ochrony danych osobowych podejmuje działania mające zapobiec dalszym skutkom</w:t>
      </w:r>
      <w:r w:rsidR="00F16462">
        <w:t>.</w:t>
      </w:r>
    </w:p>
    <w:p w14:paraId="7D3CEC58" w14:textId="79690DE9" w:rsidR="00183D1C" w:rsidRPr="00995A42" w:rsidRDefault="00183D1C" w:rsidP="00FC0030">
      <w:pPr>
        <w:numPr>
          <w:ilvl w:val="0"/>
          <w:numId w:val="26"/>
        </w:numPr>
      </w:pPr>
      <w:r w:rsidRPr="00995A42">
        <w:t xml:space="preserve">Po dokonaniu czynności zabezpieczających, </w:t>
      </w:r>
      <w:r w:rsidR="00F16462">
        <w:t>Administrator</w:t>
      </w:r>
      <w:r w:rsidRPr="00995A42">
        <w:t xml:space="preserve"> Danych Osobowych, ma za zadanie przeprowadzić postępowanie wyjaśniające, które:</w:t>
      </w:r>
    </w:p>
    <w:p w14:paraId="3CE4C036" w14:textId="7E065146" w:rsidR="00D778D7" w:rsidRPr="00995A42" w:rsidRDefault="00183D1C" w:rsidP="00D778D7">
      <w:pPr>
        <w:pStyle w:val="Akapitzlist"/>
        <w:numPr>
          <w:ilvl w:val="0"/>
          <w:numId w:val="34"/>
        </w:numPr>
      </w:pPr>
      <w:r w:rsidRPr="00995A42">
        <w:t>ustali ostateczny zakres, przyczyny wystąpienia oraz skutki, zarów</w:t>
      </w:r>
      <w:r w:rsidR="00D778D7" w:rsidRPr="00995A42">
        <w:t>no dla Praktyki</w:t>
      </w:r>
      <w:r w:rsidRPr="00995A42">
        <w:t>, jak i osób, których dane dotyczyły,</w:t>
      </w:r>
    </w:p>
    <w:p w14:paraId="30F6416B" w14:textId="77777777" w:rsidR="00995A42" w:rsidRPr="00995A42" w:rsidRDefault="00183D1C" w:rsidP="00995A42">
      <w:pPr>
        <w:pStyle w:val="Akapitzlist"/>
        <w:numPr>
          <w:ilvl w:val="0"/>
          <w:numId w:val="34"/>
        </w:numPr>
      </w:pPr>
      <w:r w:rsidRPr="00995A42">
        <w:t xml:space="preserve">podejmuje niezbędne czynności mające na celu przywrócenie prawidłowości działania systemu ochrony danych </w:t>
      </w:r>
      <w:r w:rsidR="00D778D7" w:rsidRPr="00995A42">
        <w:t>osobowych w podmiocie</w:t>
      </w:r>
      <w:r w:rsidRPr="00995A42">
        <w:t>,</w:t>
      </w:r>
    </w:p>
    <w:p w14:paraId="7A7DAF0D" w14:textId="77777777" w:rsidR="00995A42" w:rsidRPr="00995A42" w:rsidRDefault="00183D1C" w:rsidP="00995A42">
      <w:pPr>
        <w:pStyle w:val="Akapitzlist"/>
        <w:numPr>
          <w:ilvl w:val="0"/>
          <w:numId w:val="34"/>
        </w:numPr>
      </w:pPr>
      <w:r w:rsidRPr="00995A42">
        <w:t>opracowuje działania naprawcze i zapobiegawcze, których zadaniem jest wyeliminowanie niepożądanych zdarzeń w przyszłości,</w:t>
      </w:r>
    </w:p>
    <w:p w14:paraId="4D110B9A" w14:textId="7AED3E58" w:rsidR="00183D1C" w:rsidRPr="00995A42" w:rsidRDefault="00183D1C" w:rsidP="00995A42">
      <w:pPr>
        <w:pStyle w:val="Akapitzlist"/>
        <w:numPr>
          <w:ilvl w:val="0"/>
          <w:numId w:val="34"/>
        </w:numPr>
      </w:pPr>
      <w:r w:rsidRPr="00995A42">
        <w:t>wskazuje osoby odpowiedzialne za wystąpienie sytuacji.</w:t>
      </w:r>
    </w:p>
    <w:p w14:paraId="21F6FD32" w14:textId="01C2683E" w:rsidR="00183D1C" w:rsidRPr="00867F30" w:rsidRDefault="00183D1C" w:rsidP="00FC0030">
      <w:pPr>
        <w:numPr>
          <w:ilvl w:val="0"/>
          <w:numId w:val="26"/>
        </w:numPr>
      </w:pPr>
      <w:r w:rsidRPr="00867F30">
        <w:t xml:space="preserve">Powyższe czynności są dokumentowane przez </w:t>
      </w:r>
      <w:r w:rsidR="00F16462" w:rsidRPr="00867F30">
        <w:t>Administratora</w:t>
      </w:r>
      <w:r w:rsidRPr="00867F30">
        <w:t xml:space="preserve"> Danych Osobowych za pomocą formularza, którego </w:t>
      </w:r>
      <w:r w:rsidR="003D345F" w:rsidRPr="00867F30">
        <w:t>wzór</w:t>
      </w:r>
      <w:r w:rsidR="003F6618" w:rsidRPr="00867F30">
        <w:t xml:space="preserve"> stanowi </w:t>
      </w:r>
      <w:r w:rsidR="003F6618" w:rsidRPr="00AD6621">
        <w:rPr>
          <w:u w:val="single"/>
        </w:rPr>
        <w:t>załącznik nr 12</w:t>
      </w:r>
      <w:r w:rsidRPr="00867F30">
        <w:t>.</w:t>
      </w:r>
    </w:p>
    <w:p w14:paraId="1B5C3E02" w14:textId="05CA8B9A" w:rsidR="00183D1C" w:rsidRPr="00265805" w:rsidRDefault="00183D1C" w:rsidP="00FC0030">
      <w:pPr>
        <w:numPr>
          <w:ilvl w:val="0"/>
          <w:numId w:val="26"/>
        </w:numPr>
      </w:pPr>
      <w:r w:rsidRPr="00265805">
        <w:t xml:space="preserve">Rejestr formularzy, o których mowa w punkcie 7 niniejszego rozdziału prowadzi </w:t>
      </w:r>
      <w:r w:rsidR="00867F30">
        <w:t>A</w:t>
      </w:r>
      <w:r w:rsidRPr="00265805">
        <w:t>dministrator</w:t>
      </w:r>
      <w:r w:rsidR="0079661A">
        <w:t xml:space="preserve"> lub wyznaczona przez administratora osoba</w:t>
      </w:r>
      <w:r w:rsidR="00855741">
        <w:t>.</w:t>
      </w:r>
      <w:r w:rsidRPr="00265805">
        <w:t>.</w:t>
      </w:r>
    </w:p>
    <w:p w14:paraId="441D12BE" w14:textId="118E606D" w:rsidR="00183D1C" w:rsidRPr="00A70663" w:rsidRDefault="00183D1C" w:rsidP="00FD181D">
      <w:pPr>
        <w:numPr>
          <w:ilvl w:val="0"/>
          <w:numId w:val="26"/>
        </w:numPr>
      </w:pPr>
      <w:r w:rsidRPr="00995A42">
        <w:lastRenderedPageBreak/>
        <w:t>Administrator</w:t>
      </w:r>
      <w:r w:rsidR="00A70663">
        <w:t xml:space="preserve"> </w:t>
      </w:r>
      <w:r w:rsidRPr="00995A42">
        <w:t>powiad</w:t>
      </w:r>
      <w:r w:rsidR="00A70663">
        <w:t>a</w:t>
      </w:r>
      <w:r w:rsidRPr="00995A42">
        <w:t>mi</w:t>
      </w:r>
      <w:r w:rsidR="00A70663">
        <w:t>a</w:t>
      </w:r>
      <w:r w:rsidR="00855741">
        <w:t xml:space="preserve"> </w:t>
      </w:r>
      <w:r w:rsidR="00855741" w:rsidRPr="00995A42">
        <w:t>organ nadzorcz</w:t>
      </w:r>
      <w:r w:rsidR="00855741">
        <w:t>y</w:t>
      </w:r>
      <w:r w:rsidRPr="00995A42">
        <w:t xml:space="preserve"> o incydencie lub naruszeniu systemu ochrony danych osobowych organ nadzorcz</w:t>
      </w:r>
      <w:r w:rsidR="00855741">
        <w:t>y</w:t>
      </w:r>
      <w:r w:rsidRPr="00995A42">
        <w:t>nie później niż na 72 godziny od czasu jego wykrycia.</w:t>
      </w:r>
    </w:p>
    <w:p w14:paraId="6D8B35FC" w14:textId="77777777" w:rsidR="000973A2" w:rsidRDefault="000973A2" w:rsidP="002F68CD">
      <w:pPr>
        <w:jc w:val="center"/>
        <w:rPr>
          <w:b/>
        </w:rPr>
      </w:pPr>
    </w:p>
    <w:p w14:paraId="5203B033" w14:textId="38D23299" w:rsidR="000973A2" w:rsidRDefault="00A67EA0" w:rsidP="002F68CD">
      <w:pPr>
        <w:jc w:val="center"/>
        <w:rPr>
          <w:b/>
        </w:rPr>
      </w:pPr>
      <w:r>
        <w:rPr>
          <w:b/>
        </w:rPr>
        <w:t>§16</w:t>
      </w:r>
      <w:r w:rsidR="0073605A" w:rsidRPr="00A967CE">
        <w:rPr>
          <w:b/>
        </w:rPr>
        <w:t xml:space="preserve"> </w:t>
      </w:r>
    </w:p>
    <w:p w14:paraId="1900A72B" w14:textId="6D222573" w:rsidR="005E6669" w:rsidRPr="00A967CE" w:rsidRDefault="005E6669" w:rsidP="002F68CD">
      <w:pPr>
        <w:jc w:val="center"/>
        <w:rPr>
          <w:b/>
        </w:rPr>
      </w:pPr>
      <w:r w:rsidRPr="00A967CE">
        <w:rPr>
          <w:b/>
        </w:rPr>
        <w:t>Kontrole wewnętrzne i audyty bezpieczeństwa</w:t>
      </w:r>
    </w:p>
    <w:p w14:paraId="626E7386" w14:textId="78E6E8D3" w:rsidR="00F4305D" w:rsidRPr="00A967CE" w:rsidRDefault="00F4305D" w:rsidP="00F4305D">
      <w:pPr>
        <w:pStyle w:val="Akapitzlist"/>
        <w:numPr>
          <w:ilvl w:val="0"/>
          <w:numId w:val="27"/>
        </w:numPr>
        <w:ind w:left="709"/>
      </w:pPr>
      <w:r w:rsidRPr="00A967CE">
        <w:t xml:space="preserve">Kontrolą </w:t>
      </w:r>
      <w:r w:rsidR="005E6669" w:rsidRPr="00A967CE">
        <w:t xml:space="preserve">przetwarzania danych osobowych zajmuje się </w:t>
      </w:r>
      <w:r w:rsidR="004C56E3">
        <w:t>Administrator</w:t>
      </w:r>
      <w:r w:rsidR="005E6669" w:rsidRPr="00A967CE">
        <w:t xml:space="preserve"> Danych Osobowych.</w:t>
      </w:r>
    </w:p>
    <w:p w14:paraId="19CEF2B9" w14:textId="6F7F0DA9" w:rsidR="00F4305D" w:rsidRPr="00A967CE" w:rsidRDefault="005E6669" w:rsidP="00F4305D">
      <w:pPr>
        <w:pStyle w:val="Akapitzlist"/>
        <w:numPr>
          <w:ilvl w:val="0"/>
          <w:numId w:val="27"/>
        </w:numPr>
        <w:ind w:left="709"/>
      </w:pPr>
      <w:r w:rsidRPr="00A967CE">
        <w:t xml:space="preserve">Kontrole przeprowadzane są regularnie, co najmniej raz do roku, a w przypadku wystąpienia </w:t>
      </w:r>
      <w:r w:rsidR="00F4305D" w:rsidRPr="00A967CE">
        <w:t>incydentu w podmiocie</w:t>
      </w:r>
      <w:r w:rsidRPr="00A967CE">
        <w:t>, kompleksową kontrolę obejmującą wszystkie aspekty działalności rozpoczyna się nie później niż 7 dni po zakończeniu działań związanych z incydentem, który wystąpił.</w:t>
      </w:r>
    </w:p>
    <w:p w14:paraId="5E76FAC1" w14:textId="77777777" w:rsidR="00F4305D" w:rsidRPr="00A967CE" w:rsidRDefault="005E6669" w:rsidP="00F4305D">
      <w:pPr>
        <w:pStyle w:val="Akapitzlist"/>
        <w:numPr>
          <w:ilvl w:val="0"/>
          <w:numId w:val="27"/>
        </w:numPr>
        <w:ind w:left="709"/>
      </w:pPr>
      <w:r w:rsidRPr="00A967CE">
        <w:t xml:space="preserve">Kontrola przeprowadzana jest przy uwzględnieniu minimalnych wytycznych jakimi są: badanie pod względem zgodności z prawem, branżowymi standardami postepowania, normami i przepisami wewnętrznymi. </w:t>
      </w:r>
    </w:p>
    <w:p w14:paraId="75E4B977" w14:textId="7FB1A874" w:rsidR="00F4305D" w:rsidRPr="00A967CE" w:rsidRDefault="004C56E3" w:rsidP="00F4305D">
      <w:pPr>
        <w:pStyle w:val="Akapitzlist"/>
        <w:numPr>
          <w:ilvl w:val="0"/>
          <w:numId w:val="27"/>
        </w:numPr>
        <w:ind w:left="709"/>
      </w:pPr>
      <w:r>
        <w:t>Administrator</w:t>
      </w:r>
      <w:r w:rsidR="005E6669" w:rsidRPr="00A967CE">
        <w:t xml:space="preserve"> Danych Osobowych może wykonywać kontrole </w:t>
      </w:r>
      <w:r w:rsidR="00E34010" w:rsidRPr="00A967CE">
        <w:t>osobiście</w:t>
      </w:r>
      <w:r w:rsidR="005E6669" w:rsidRPr="00A967CE">
        <w:t xml:space="preserve"> </w:t>
      </w:r>
      <w:r>
        <w:t>lub</w:t>
      </w:r>
      <w:r w:rsidR="005E6669" w:rsidRPr="00A967CE">
        <w:t xml:space="preserve"> wyznaczyć do tego inną osobę lub podmiot.</w:t>
      </w:r>
    </w:p>
    <w:p w14:paraId="2CD89A89" w14:textId="77777777" w:rsidR="00382130" w:rsidRPr="00A967CE" w:rsidRDefault="005E6669" w:rsidP="00382130">
      <w:pPr>
        <w:pStyle w:val="Akapitzlist"/>
        <w:numPr>
          <w:ilvl w:val="0"/>
          <w:numId w:val="27"/>
        </w:numPr>
        <w:ind w:left="709"/>
      </w:pPr>
      <w:r w:rsidRPr="00A967CE">
        <w:t>Kontrole przeprowadzane są na podstawie programów kontroli, w których opisywany jest ich zakres, termin, cele oraz metody ich przeprowadzania oraz doraźnie.</w:t>
      </w:r>
    </w:p>
    <w:p w14:paraId="363FA672" w14:textId="77777777" w:rsidR="00382130" w:rsidRPr="00A967CE" w:rsidRDefault="005E6669" w:rsidP="00382130">
      <w:pPr>
        <w:pStyle w:val="Akapitzlist"/>
        <w:numPr>
          <w:ilvl w:val="0"/>
          <w:numId w:val="27"/>
        </w:numPr>
        <w:ind w:left="709"/>
      </w:pPr>
      <w:r w:rsidRPr="00A967CE">
        <w:t>Proces kontroli musi być dokumentowany i uzupełniony pozyskaniem obiektywnych dowodów na prawidłowość procesu kontrolnego.</w:t>
      </w:r>
    </w:p>
    <w:p w14:paraId="42D41826" w14:textId="77777777" w:rsidR="00382130" w:rsidRPr="00867F30" w:rsidRDefault="00382130" w:rsidP="00382130">
      <w:pPr>
        <w:pStyle w:val="Akapitzlist"/>
        <w:numPr>
          <w:ilvl w:val="0"/>
          <w:numId w:val="27"/>
        </w:numPr>
        <w:ind w:left="709"/>
        <w:rPr>
          <w:color w:val="000000" w:themeColor="text1"/>
        </w:rPr>
      </w:pPr>
      <w:r w:rsidRPr="00867F30">
        <w:rPr>
          <w:color w:val="000000" w:themeColor="text1"/>
        </w:rPr>
        <w:t>J</w:t>
      </w:r>
      <w:r w:rsidR="005E6669" w:rsidRPr="00867F30">
        <w:rPr>
          <w:color w:val="000000" w:themeColor="text1"/>
        </w:rPr>
        <w:t xml:space="preserve">eśli podczas kontroli stwierdzone zostają nieprawidłowości zagrażające systemowi ochrony danych </w:t>
      </w:r>
      <w:r w:rsidRPr="00867F30">
        <w:rPr>
          <w:color w:val="000000" w:themeColor="text1"/>
        </w:rPr>
        <w:t>osobowych w podmiocie</w:t>
      </w:r>
      <w:r w:rsidR="005E6669" w:rsidRPr="00867F30">
        <w:rPr>
          <w:color w:val="000000" w:themeColor="text1"/>
        </w:rPr>
        <w:t>, kontroler musi niezwłocznie powiadomić o tym fakcie administratora.</w:t>
      </w:r>
    </w:p>
    <w:p w14:paraId="19B6A7C6" w14:textId="77777777" w:rsidR="00382130" w:rsidRPr="00867F30" w:rsidRDefault="005E6669" w:rsidP="00382130">
      <w:pPr>
        <w:pStyle w:val="Akapitzlist"/>
        <w:numPr>
          <w:ilvl w:val="0"/>
          <w:numId w:val="27"/>
        </w:numPr>
        <w:ind w:left="709"/>
        <w:rPr>
          <w:color w:val="000000" w:themeColor="text1"/>
        </w:rPr>
      </w:pPr>
      <w:r w:rsidRPr="00867F30">
        <w:rPr>
          <w:color w:val="000000" w:themeColor="text1"/>
        </w:rPr>
        <w:t>Wynik kontroli musi być udokumentowany i przekazany administrator</w:t>
      </w:r>
      <w:r w:rsidR="00382130" w:rsidRPr="00867F30">
        <w:rPr>
          <w:color w:val="000000" w:themeColor="text1"/>
        </w:rPr>
        <w:t>owi w ciągu 21</w:t>
      </w:r>
      <w:r w:rsidRPr="00867F30">
        <w:rPr>
          <w:color w:val="000000" w:themeColor="text1"/>
        </w:rPr>
        <w:t xml:space="preserve"> dni od jej zakończenia.</w:t>
      </w:r>
    </w:p>
    <w:p w14:paraId="19C65286" w14:textId="208712E1" w:rsidR="00382130" w:rsidRPr="00867F30" w:rsidRDefault="005E6669" w:rsidP="00382130">
      <w:pPr>
        <w:pStyle w:val="Akapitzlist"/>
        <w:numPr>
          <w:ilvl w:val="0"/>
          <w:numId w:val="27"/>
        </w:numPr>
        <w:ind w:left="709"/>
        <w:rPr>
          <w:color w:val="000000" w:themeColor="text1"/>
        </w:rPr>
      </w:pPr>
      <w:r w:rsidRPr="00867F30">
        <w:rPr>
          <w:color w:val="000000" w:themeColor="text1"/>
        </w:rPr>
        <w:t>Wzór raportu poko</w:t>
      </w:r>
      <w:r w:rsidR="00265805" w:rsidRPr="00867F30">
        <w:rPr>
          <w:color w:val="000000" w:themeColor="text1"/>
        </w:rPr>
        <w:t>n</w:t>
      </w:r>
      <w:r w:rsidR="00A16A3F" w:rsidRPr="00867F30">
        <w:rPr>
          <w:color w:val="000000" w:themeColor="text1"/>
        </w:rPr>
        <w:t xml:space="preserve">trolnego określa </w:t>
      </w:r>
      <w:r w:rsidR="00A16A3F" w:rsidRPr="00AD6621">
        <w:rPr>
          <w:color w:val="000000" w:themeColor="text1"/>
          <w:u w:val="single"/>
        </w:rPr>
        <w:t>załącznik nr 1</w:t>
      </w:r>
      <w:r w:rsidR="00E31CBC">
        <w:rPr>
          <w:color w:val="000000" w:themeColor="text1"/>
          <w:u w:val="single"/>
        </w:rPr>
        <w:t>2.1</w:t>
      </w:r>
      <w:r w:rsidRPr="00AD6621">
        <w:rPr>
          <w:color w:val="000000" w:themeColor="text1"/>
          <w:u w:val="single"/>
        </w:rPr>
        <w:t>.</w:t>
      </w:r>
    </w:p>
    <w:p w14:paraId="0ADB2128" w14:textId="68B083E5" w:rsidR="00FD181D" w:rsidRPr="00867F30" w:rsidRDefault="005E6669" w:rsidP="00B662C7">
      <w:pPr>
        <w:pStyle w:val="Akapitzlist"/>
        <w:numPr>
          <w:ilvl w:val="0"/>
          <w:numId w:val="27"/>
        </w:numPr>
        <w:ind w:left="709"/>
        <w:rPr>
          <w:color w:val="000000" w:themeColor="text1"/>
        </w:rPr>
      </w:pPr>
      <w:r w:rsidRPr="00867F30">
        <w:rPr>
          <w:color w:val="000000" w:themeColor="text1"/>
        </w:rPr>
        <w:t>Administrator może zlecić badanie audytowe niezależnemu podmiotowi</w:t>
      </w:r>
      <w:r w:rsidR="004C56E3" w:rsidRPr="00867F30">
        <w:rPr>
          <w:color w:val="000000" w:themeColor="text1"/>
        </w:rPr>
        <w:t>.</w:t>
      </w:r>
    </w:p>
    <w:p w14:paraId="23FB4DE9" w14:textId="77777777" w:rsidR="00FD181D" w:rsidRPr="00FD181D" w:rsidRDefault="00FD181D" w:rsidP="00B662C7">
      <w:pPr>
        <w:rPr>
          <w:color w:val="FF0000"/>
        </w:rPr>
      </w:pPr>
    </w:p>
    <w:p w14:paraId="587011B4" w14:textId="50D1191A" w:rsidR="000973A2" w:rsidRDefault="00A67EA0" w:rsidP="00C93606">
      <w:pPr>
        <w:jc w:val="center"/>
        <w:rPr>
          <w:b/>
        </w:rPr>
      </w:pPr>
      <w:bookmarkStart w:id="12" w:name="_Toc323809777"/>
      <w:r>
        <w:rPr>
          <w:b/>
        </w:rPr>
        <w:t>§17</w:t>
      </w:r>
    </w:p>
    <w:p w14:paraId="112285B5" w14:textId="10A30128" w:rsidR="00B662C7" w:rsidRDefault="00C93606" w:rsidP="00C93606">
      <w:pPr>
        <w:jc w:val="center"/>
        <w:rPr>
          <w:b/>
        </w:rPr>
      </w:pPr>
      <w:r w:rsidRPr="00C93606">
        <w:rPr>
          <w:b/>
        </w:rPr>
        <w:t xml:space="preserve"> </w:t>
      </w:r>
      <w:r w:rsidR="00B662C7" w:rsidRPr="00C93606">
        <w:rPr>
          <w:b/>
        </w:rPr>
        <w:t>Środki techniczne ochrony danych osobowych</w:t>
      </w:r>
      <w:bookmarkEnd w:id="12"/>
    </w:p>
    <w:p w14:paraId="0BF72AF2" w14:textId="74C300B5" w:rsidR="00B662C7" w:rsidRPr="000973A2" w:rsidRDefault="00B662C7" w:rsidP="00B95C9B">
      <w:pPr>
        <w:rPr>
          <w:color w:val="000000" w:themeColor="text1"/>
        </w:rPr>
      </w:pPr>
      <w:r w:rsidRPr="000973A2">
        <w:rPr>
          <w:b/>
          <w:bCs/>
          <w:color w:val="000000" w:themeColor="text1"/>
        </w:rPr>
        <w:t>Ogólna ochrona budynku</w:t>
      </w:r>
      <w:r w:rsidR="00A67EA0">
        <w:rPr>
          <w:color w:val="000000" w:themeColor="text1"/>
        </w:rPr>
        <w:t xml:space="preserve"> – </w:t>
      </w:r>
      <w:r w:rsidRPr="000973A2">
        <w:rPr>
          <w:color w:val="000000" w:themeColor="text1"/>
        </w:rPr>
        <w:t>, monitoring wizyjny, całodobowy, gaśnice</w:t>
      </w:r>
      <w:r w:rsidR="004C56E3" w:rsidRPr="000973A2">
        <w:rPr>
          <w:color w:val="000000" w:themeColor="text1"/>
        </w:rPr>
        <w:t xml:space="preserve">, </w:t>
      </w:r>
      <w:r w:rsidRPr="000973A2">
        <w:rPr>
          <w:color w:val="000000" w:themeColor="text1"/>
        </w:rPr>
        <w:t>systemy ppoż.</w:t>
      </w:r>
    </w:p>
    <w:p w14:paraId="24374BF9" w14:textId="725DD544" w:rsidR="00B662C7" w:rsidRPr="000973A2" w:rsidRDefault="00B662C7" w:rsidP="00B662C7">
      <w:pPr>
        <w:rPr>
          <w:color w:val="000000" w:themeColor="text1"/>
        </w:rPr>
      </w:pPr>
      <w:r w:rsidRPr="000973A2">
        <w:rPr>
          <w:b/>
          <w:bCs/>
          <w:color w:val="000000" w:themeColor="text1"/>
        </w:rPr>
        <w:t>Zabezpieczenia okien</w:t>
      </w:r>
      <w:r w:rsidRPr="000973A2">
        <w:rPr>
          <w:color w:val="000000" w:themeColor="text1"/>
        </w:rPr>
        <w:t xml:space="preserve"> – pomieszczenia zlokalizowane na parterze, </w:t>
      </w:r>
      <w:r w:rsidR="004C56E3" w:rsidRPr="000973A2">
        <w:rPr>
          <w:color w:val="000000" w:themeColor="text1"/>
        </w:rPr>
        <w:t>okna zabez</w:t>
      </w:r>
      <w:r w:rsidR="00A67EA0">
        <w:rPr>
          <w:color w:val="000000" w:themeColor="text1"/>
        </w:rPr>
        <w:t>pieczone roletami materiałowymi oraz karatami zewnętrznymi.</w:t>
      </w:r>
    </w:p>
    <w:p w14:paraId="786A62ED" w14:textId="441962D1" w:rsidR="00B662C7" w:rsidRPr="000973A2" w:rsidRDefault="00B662C7" w:rsidP="00B662C7">
      <w:pPr>
        <w:rPr>
          <w:color w:val="000000" w:themeColor="text1"/>
        </w:rPr>
      </w:pPr>
      <w:r w:rsidRPr="000973A2">
        <w:rPr>
          <w:b/>
          <w:bCs/>
          <w:color w:val="000000" w:themeColor="text1"/>
        </w:rPr>
        <w:t>Zabezpieczenie drzwi</w:t>
      </w:r>
      <w:r w:rsidRPr="000973A2">
        <w:rPr>
          <w:color w:val="000000" w:themeColor="text1"/>
        </w:rPr>
        <w:t xml:space="preserve"> –drzwi tradycyjne zamykane na klucz</w:t>
      </w:r>
      <w:r w:rsidR="004C56E3" w:rsidRPr="000973A2">
        <w:rPr>
          <w:color w:val="000000" w:themeColor="text1"/>
        </w:rPr>
        <w:t>.</w:t>
      </w:r>
    </w:p>
    <w:p w14:paraId="24620547" w14:textId="2120C989" w:rsidR="00B662C7" w:rsidRPr="000973A2" w:rsidRDefault="00B662C7" w:rsidP="00B662C7">
      <w:pPr>
        <w:rPr>
          <w:color w:val="000000" w:themeColor="text1"/>
        </w:rPr>
      </w:pPr>
      <w:r w:rsidRPr="000973A2">
        <w:rPr>
          <w:b/>
          <w:bCs/>
          <w:color w:val="000000" w:themeColor="text1"/>
        </w:rPr>
        <w:t>Zabezpieczenia zbiorów tradycyjnych (papierowych)</w:t>
      </w:r>
      <w:r w:rsidRPr="000973A2">
        <w:rPr>
          <w:bCs/>
          <w:color w:val="000000" w:themeColor="text1"/>
        </w:rPr>
        <w:t xml:space="preserve"> </w:t>
      </w:r>
      <w:r w:rsidRPr="000973A2">
        <w:rPr>
          <w:color w:val="000000" w:themeColor="text1"/>
        </w:rPr>
        <w:t xml:space="preserve">–do przechowywania danych </w:t>
      </w:r>
      <w:r w:rsidR="004C56E3" w:rsidRPr="000973A2">
        <w:rPr>
          <w:color w:val="000000" w:themeColor="text1"/>
        </w:rPr>
        <w:t xml:space="preserve">stosuje się </w:t>
      </w:r>
      <w:r w:rsidRPr="000973A2">
        <w:rPr>
          <w:color w:val="000000" w:themeColor="text1"/>
        </w:rPr>
        <w:t xml:space="preserve">szafy tradycyjne </w:t>
      </w:r>
      <w:r w:rsidR="004C56E3" w:rsidRPr="000973A2">
        <w:rPr>
          <w:color w:val="000000" w:themeColor="text1"/>
        </w:rPr>
        <w:t xml:space="preserve">oraz biurka </w:t>
      </w:r>
      <w:r w:rsidRPr="000973A2">
        <w:rPr>
          <w:color w:val="000000" w:themeColor="text1"/>
        </w:rPr>
        <w:t>zamykane na klucz</w:t>
      </w:r>
      <w:r w:rsidR="004C56E3" w:rsidRPr="000973A2">
        <w:rPr>
          <w:color w:val="000000" w:themeColor="text1"/>
        </w:rPr>
        <w:t xml:space="preserve">. </w:t>
      </w:r>
      <w:r w:rsidRPr="000973A2">
        <w:rPr>
          <w:color w:val="000000" w:themeColor="text1"/>
        </w:rPr>
        <w:t xml:space="preserve">Dane przeznaczone do zniszczenia </w:t>
      </w:r>
      <w:r w:rsidRPr="000973A2">
        <w:rPr>
          <w:bCs/>
          <w:color w:val="000000" w:themeColor="text1"/>
        </w:rPr>
        <w:t>należy</w:t>
      </w:r>
      <w:r w:rsidRPr="000973A2">
        <w:rPr>
          <w:color w:val="000000" w:themeColor="text1"/>
        </w:rPr>
        <w:t xml:space="preserve"> </w:t>
      </w:r>
      <w:r w:rsidRPr="000973A2">
        <w:rPr>
          <w:bCs/>
          <w:color w:val="000000" w:themeColor="text1"/>
        </w:rPr>
        <w:t>niszczyć w specjalistycznych niszczarkach</w:t>
      </w:r>
      <w:r w:rsidR="004C56E3" w:rsidRPr="000973A2">
        <w:rPr>
          <w:color w:val="000000" w:themeColor="text1"/>
        </w:rPr>
        <w:t>.</w:t>
      </w:r>
    </w:p>
    <w:p w14:paraId="342DD1B4" w14:textId="77777777" w:rsidR="00980E19" w:rsidRPr="000973A2" w:rsidRDefault="00B662C7" w:rsidP="00980E19">
      <w:pPr>
        <w:rPr>
          <w:i/>
          <w:color w:val="000000" w:themeColor="text1"/>
        </w:rPr>
      </w:pPr>
      <w:r w:rsidRPr="000973A2">
        <w:rPr>
          <w:b/>
          <w:bCs/>
          <w:color w:val="000000" w:themeColor="text1"/>
        </w:rPr>
        <w:t>Zabezpieczenia zbiorów elektronicznych</w:t>
      </w:r>
      <w:r w:rsidRPr="000973A2">
        <w:rPr>
          <w:bCs/>
          <w:color w:val="000000" w:themeColor="text1"/>
        </w:rPr>
        <w:t xml:space="preserve"> </w:t>
      </w:r>
      <w:r w:rsidRPr="000973A2">
        <w:rPr>
          <w:color w:val="000000" w:themeColor="text1"/>
        </w:rPr>
        <w:t xml:space="preserve">– dane elektroniczne </w:t>
      </w:r>
      <w:r w:rsidRPr="000973A2">
        <w:rPr>
          <w:bCs/>
          <w:color w:val="000000" w:themeColor="text1"/>
        </w:rPr>
        <w:t>należy</w:t>
      </w:r>
      <w:r w:rsidRPr="000973A2">
        <w:rPr>
          <w:color w:val="000000" w:themeColor="text1"/>
        </w:rPr>
        <w:t xml:space="preserve"> </w:t>
      </w:r>
      <w:r w:rsidRPr="000973A2">
        <w:rPr>
          <w:bCs/>
          <w:color w:val="000000" w:themeColor="text1"/>
        </w:rPr>
        <w:t>zabezpieczyć poprzez wyposażenie komputerów w zasilacze awaryjne</w:t>
      </w:r>
      <w:r w:rsidRPr="000973A2">
        <w:rPr>
          <w:color w:val="000000" w:themeColor="text1"/>
        </w:rPr>
        <w:t xml:space="preserve"> podtrzymujące napięcie na wypadek braku zasilania oraz w systemy antywirusowe.</w:t>
      </w:r>
      <w:r w:rsidR="001E65FB" w:rsidRPr="000973A2">
        <w:rPr>
          <w:color w:val="000000" w:themeColor="text1"/>
        </w:rPr>
        <w:t xml:space="preserve"> Laptopy należy zabezpieczyć poprzez szyfrowanie dysku oraz ustawienie haseł dostępu. Telefony komórkowe </w:t>
      </w:r>
      <w:r w:rsidR="00980E19" w:rsidRPr="000973A2">
        <w:rPr>
          <w:color w:val="000000" w:themeColor="text1"/>
        </w:rPr>
        <w:t xml:space="preserve">oraz kartę pamięci należy zaszyfrować. </w:t>
      </w:r>
      <w:r w:rsidRPr="000973A2">
        <w:rPr>
          <w:color w:val="000000" w:themeColor="text1"/>
        </w:rPr>
        <w:t xml:space="preserve">Kopie danych </w:t>
      </w:r>
      <w:r w:rsidR="00980E19" w:rsidRPr="000973A2">
        <w:rPr>
          <w:color w:val="000000" w:themeColor="text1"/>
        </w:rPr>
        <w:t xml:space="preserve">z komputerów </w:t>
      </w:r>
      <w:r w:rsidRPr="000973A2">
        <w:rPr>
          <w:bCs/>
          <w:color w:val="000000" w:themeColor="text1"/>
        </w:rPr>
        <w:t>należy</w:t>
      </w:r>
      <w:r w:rsidRPr="000973A2">
        <w:rPr>
          <w:color w:val="000000" w:themeColor="text1"/>
        </w:rPr>
        <w:t xml:space="preserve"> </w:t>
      </w:r>
      <w:r w:rsidRPr="000973A2">
        <w:rPr>
          <w:bCs/>
          <w:color w:val="000000" w:themeColor="text1"/>
        </w:rPr>
        <w:t>gromadzić w szaf</w:t>
      </w:r>
      <w:r w:rsidR="004C56E3" w:rsidRPr="000973A2">
        <w:rPr>
          <w:bCs/>
          <w:color w:val="000000" w:themeColor="text1"/>
        </w:rPr>
        <w:t>ie/sejfie</w:t>
      </w:r>
      <w:r w:rsidRPr="000973A2">
        <w:rPr>
          <w:bCs/>
          <w:color w:val="000000" w:themeColor="text1"/>
        </w:rPr>
        <w:t xml:space="preserve"> metalowy</w:t>
      </w:r>
      <w:r w:rsidR="004C56E3" w:rsidRPr="000973A2">
        <w:rPr>
          <w:bCs/>
          <w:color w:val="000000" w:themeColor="text1"/>
        </w:rPr>
        <w:t>m</w:t>
      </w:r>
      <w:r w:rsidRPr="000973A2">
        <w:rPr>
          <w:bCs/>
          <w:color w:val="000000" w:themeColor="text1"/>
        </w:rPr>
        <w:t xml:space="preserve"> </w:t>
      </w:r>
      <w:r w:rsidR="004C56E3" w:rsidRPr="000973A2">
        <w:rPr>
          <w:bCs/>
          <w:color w:val="000000" w:themeColor="text1"/>
        </w:rPr>
        <w:t>ognioodpornym</w:t>
      </w:r>
      <w:r w:rsidRPr="000973A2">
        <w:rPr>
          <w:i/>
          <w:color w:val="000000" w:themeColor="text1"/>
        </w:rPr>
        <w:t>.</w:t>
      </w:r>
    </w:p>
    <w:p w14:paraId="6F11BD21" w14:textId="0A51B15F" w:rsidR="00EB3EA3" w:rsidRPr="007D417A" w:rsidRDefault="00980E19" w:rsidP="00A876ED">
      <w:r w:rsidRPr="000973A2">
        <w:rPr>
          <w:color w:val="000000" w:themeColor="text1"/>
        </w:rPr>
        <w:lastRenderedPageBreak/>
        <w:t xml:space="preserve">Zabezpieczenie monitoringu wizyjnego – zapisy monitoringu wizyjnego przechowywane </w:t>
      </w:r>
      <w:r w:rsidR="00A67EA0" w:rsidRPr="00A67EA0">
        <w:rPr>
          <w:color w:val="000000" w:themeColor="text1"/>
        </w:rPr>
        <w:t xml:space="preserve">są 10 </w:t>
      </w:r>
      <w:r w:rsidRPr="00A67EA0">
        <w:rPr>
          <w:color w:val="000000" w:themeColor="text1"/>
        </w:rPr>
        <w:t xml:space="preserve">dni. Po tym czasie obraz z kamer </w:t>
      </w:r>
    </w:p>
    <w:sectPr w:rsidR="00EB3EA3" w:rsidRPr="007D417A" w:rsidSect="00A876ED">
      <w:head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06247" w14:textId="77777777" w:rsidR="008373A7" w:rsidRDefault="008373A7" w:rsidP="006D77A6">
      <w:pPr>
        <w:spacing w:after="0" w:line="240" w:lineRule="auto"/>
      </w:pPr>
      <w:r>
        <w:separator/>
      </w:r>
    </w:p>
  </w:endnote>
  <w:endnote w:type="continuationSeparator" w:id="0">
    <w:p w14:paraId="564B95AA" w14:textId="77777777" w:rsidR="008373A7" w:rsidRDefault="008373A7" w:rsidP="006D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911936"/>
      <w:docPartObj>
        <w:docPartGallery w:val="Page Numbers (Bottom of Page)"/>
        <w:docPartUnique/>
      </w:docPartObj>
    </w:sdtPr>
    <w:sdtEndPr/>
    <w:sdtContent>
      <w:p w14:paraId="168619D4" w14:textId="08C00BAF" w:rsidR="00A67EA0" w:rsidRDefault="00A67EA0">
        <w:pPr>
          <w:pStyle w:val="Stopka"/>
          <w:jc w:val="center"/>
        </w:pPr>
        <w:r>
          <w:fldChar w:fldCharType="begin"/>
        </w:r>
        <w:r>
          <w:instrText>PAGE   \* MERGEFORMAT</w:instrText>
        </w:r>
        <w:r>
          <w:fldChar w:fldCharType="separate"/>
        </w:r>
        <w:r w:rsidR="006F0995">
          <w:rPr>
            <w:noProof/>
          </w:rPr>
          <w:t>1</w:t>
        </w:r>
        <w:r>
          <w:fldChar w:fldCharType="end"/>
        </w:r>
      </w:p>
    </w:sdtContent>
  </w:sdt>
  <w:p w14:paraId="490C46B3" w14:textId="77777777" w:rsidR="00A67EA0" w:rsidRDefault="00A67EA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5904D" w14:textId="77777777" w:rsidR="008373A7" w:rsidRDefault="008373A7" w:rsidP="006D77A6">
      <w:pPr>
        <w:spacing w:after="0" w:line="240" w:lineRule="auto"/>
      </w:pPr>
      <w:r>
        <w:separator/>
      </w:r>
    </w:p>
  </w:footnote>
  <w:footnote w:type="continuationSeparator" w:id="0">
    <w:p w14:paraId="37E59657" w14:textId="77777777" w:rsidR="008373A7" w:rsidRDefault="008373A7" w:rsidP="006D7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52EA" w14:textId="5A4EAC75" w:rsidR="00A67EA0" w:rsidRDefault="008373A7">
    <w:pPr>
      <w:pStyle w:val="Nagwek"/>
    </w:pPr>
    <w:r>
      <w:rPr>
        <w:noProof/>
      </w:rPr>
      <w:pict w14:anchorId="18D5B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077110" o:spid="_x0000_s2050" type="#_x0000_t136" style="position:absolute;left:0;text-align:left;margin-left:0;margin-top:0;width:612.2pt;height:27.2pt;rotation:315;z-index:-251655168;mso-position-horizontal:center;mso-position-horizontal-relative:margin;mso-position-vertical:center;mso-position-vertical-relative:margin" o:allowincell="f" fillcolor="silver" stroked="f">
          <v:fill opacity=".5"/>
          <v:textpath style="font-family:&quot;Cambria&quot;;font-size:1pt" string="Fundacja  Domowe Hospicjum Dziecięce Promyczek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DEE8" w14:textId="4B3D078C" w:rsidR="00A67EA0" w:rsidRDefault="008373A7">
    <w:pPr>
      <w:pStyle w:val="Nagwek"/>
    </w:pPr>
    <w:r>
      <w:rPr>
        <w:noProof/>
      </w:rPr>
      <w:pict w14:anchorId="2414C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077111" o:spid="_x0000_s2051" type="#_x0000_t136" style="position:absolute;left:0;text-align:left;margin-left:0;margin-top:0;width:612.2pt;height:27.2pt;rotation:315;z-index:-251653120;mso-position-horizontal:center;mso-position-horizontal-relative:margin;mso-position-vertical:center;mso-position-vertical-relative:margin" o:allowincell="f" fillcolor="silver" stroked="f">
          <v:fill opacity=".5"/>
          <v:textpath style="font-family:&quot;Cambria&quot;;font-size:1pt" string="Fundacja  Domowe Hospicjum Dziecięce Promyczek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47E8" w14:textId="21305E80" w:rsidR="00A67EA0" w:rsidRDefault="008373A7">
    <w:pPr>
      <w:pStyle w:val="Nagwek"/>
    </w:pPr>
    <w:r>
      <w:rPr>
        <w:noProof/>
      </w:rPr>
      <w:pict w14:anchorId="00D90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077109" o:spid="_x0000_s2049" type="#_x0000_t136" style="position:absolute;left:0;text-align:left;margin-left:0;margin-top:0;width:612.2pt;height:27.2pt;rotation:315;z-index:-251657216;mso-position-horizontal:center;mso-position-horizontal-relative:margin;mso-position-vertical:center;mso-position-vertical-relative:margin" o:allowincell="f" fillcolor="silver" stroked="f">
          <v:fill opacity=".5"/>
          <v:textpath style="font-family:&quot;Cambria&quot;;font-size:1pt" string="Fundacja  Domowe Hospicjum Dziecięce Promyczek "/>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C974" w14:textId="77777777" w:rsidR="00A67EA0" w:rsidRDefault="008373A7">
    <w:pPr>
      <w:pStyle w:val="Nagwek"/>
    </w:pPr>
    <w:r>
      <w:rPr>
        <w:noProof/>
      </w:rPr>
      <w:pict w14:anchorId="4D4D2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12.2pt;height:27.2pt;rotation:315;z-index:-251651072;mso-position-horizontal:center;mso-position-horizontal-relative:margin;mso-position-vertical:center;mso-position-vertical-relative:margin" o:allowincell="f" fillcolor="silver" stroked="f">
          <v:fill opacity=".5"/>
          <v:textpath style="font-family:&quot;Cambria&quot;;font-size:1pt" string="Fundacja  Domowe Hospicjum Dziecięce Promyczek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0DA9"/>
    <w:multiLevelType w:val="hybridMultilevel"/>
    <w:tmpl w:val="DC2E5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E7B3C"/>
    <w:multiLevelType w:val="hybridMultilevel"/>
    <w:tmpl w:val="DC8EDE2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5C1010"/>
    <w:multiLevelType w:val="hybridMultilevel"/>
    <w:tmpl w:val="4C68ADE6"/>
    <w:lvl w:ilvl="0" w:tplc="8362BD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5041F"/>
    <w:multiLevelType w:val="hybridMultilevel"/>
    <w:tmpl w:val="E9005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7351A"/>
    <w:multiLevelType w:val="hybridMultilevel"/>
    <w:tmpl w:val="35E4EA20"/>
    <w:lvl w:ilvl="0" w:tplc="570E28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72247"/>
    <w:multiLevelType w:val="multilevel"/>
    <w:tmpl w:val="7F625E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11F73B0"/>
    <w:multiLevelType w:val="hybridMultilevel"/>
    <w:tmpl w:val="04404AEC"/>
    <w:lvl w:ilvl="0" w:tplc="BF720D7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82DB0"/>
    <w:multiLevelType w:val="hybridMultilevel"/>
    <w:tmpl w:val="52865432"/>
    <w:lvl w:ilvl="0" w:tplc="389654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76394"/>
    <w:multiLevelType w:val="hybridMultilevel"/>
    <w:tmpl w:val="CE82076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263036"/>
    <w:multiLevelType w:val="hybridMultilevel"/>
    <w:tmpl w:val="7B8ADDF8"/>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 w15:restartNumberingAfterBreak="0">
    <w:nsid w:val="1FEE19DE"/>
    <w:multiLevelType w:val="hybridMultilevel"/>
    <w:tmpl w:val="33BE66BA"/>
    <w:lvl w:ilvl="0" w:tplc="8362B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4964C3"/>
    <w:multiLevelType w:val="hybridMultilevel"/>
    <w:tmpl w:val="1076D3B0"/>
    <w:lvl w:ilvl="0" w:tplc="8362B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CF133E"/>
    <w:multiLevelType w:val="hybridMultilevel"/>
    <w:tmpl w:val="30A695F2"/>
    <w:lvl w:ilvl="0" w:tplc="654EFBB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D21668"/>
    <w:multiLevelType w:val="hybridMultilevel"/>
    <w:tmpl w:val="A2AE9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2911A3"/>
    <w:multiLevelType w:val="hybridMultilevel"/>
    <w:tmpl w:val="B4584728"/>
    <w:lvl w:ilvl="0" w:tplc="50A413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4420F3"/>
    <w:multiLevelType w:val="hybridMultilevel"/>
    <w:tmpl w:val="8648E8B2"/>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2A6945BC"/>
    <w:multiLevelType w:val="hybridMultilevel"/>
    <w:tmpl w:val="37FA0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637B90"/>
    <w:multiLevelType w:val="hybridMultilevel"/>
    <w:tmpl w:val="2ED64ABC"/>
    <w:lvl w:ilvl="0" w:tplc="E8B6401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E8A1ADE"/>
    <w:multiLevelType w:val="multilevel"/>
    <w:tmpl w:val="9F4CCDF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ED72B7B"/>
    <w:multiLevelType w:val="hybridMultilevel"/>
    <w:tmpl w:val="9C1A3F62"/>
    <w:lvl w:ilvl="0" w:tplc="8362B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6C0371"/>
    <w:multiLevelType w:val="hybridMultilevel"/>
    <w:tmpl w:val="502286E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15:restartNumberingAfterBreak="0">
    <w:nsid w:val="38D34432"/>
    <w:multiLevelType w:val="hybridMultilevel"/>
    <w:tmpl w:val="D60E7F48"/>
    <w:lvl w:ilvl="0" w:tplc="04150019">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2" w15:restartNumberingAfterBreak="0">
    <w:nsid w:val="3BB962D3"/>
    <w:multiLevelType w:val="hybridMultilevel"/>
    <w:tmpl w:val="5A363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982080"/>
    <w:multiLevelType w:val="hybridMultilevel"/>
    <w:tmpl w:val="19346396"/>
    <w:lvl w:ilvl="0" w:tplc="B60805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8A5EFA"/>
    <w:multiLevelType w:val="hybridMultilevel"/>
    <w:tmpl w:val="A91C0156"/>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A74BF2"/>
    <w:multiLevelType w:val="hybridMultilevel"/>
    <w:tmpl w:val="EF16DC5E"/>
    <w:lvl w:ilvl="0" w:tplc="E8B6401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6A748F6"/>
    <w:multiLevelType w:val="multilevel"/>
    <w:tmpl w:val="DEEE0B4A"/>
    <w:lvl w:ilvl="0">
      <w:start w:val="1"/>
      <w:numFmt w:val="upperRoman"/>
      <w:lvlText w:val="%1."/>
      <w:lvlJc w:val="left"/>
      <w:pPr>
        <w:ind w:left="1080" w:hanging="72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4F652939"/>
    <w:multiLevelType w:val="hybridMultilevel"/>
    <w:tmpl w:val="DC2E5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1A3F31"/>
    <w:multiLevelType w:val="hybridMultilevel"/>
    <w:tmpl w:val="821E44EA"/>
    <w:lvl w:ilvl="0" w:tplc="8362B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B55712"/>
    <w:multiLevelType w:val="multilevel"/>
    <w:tmpl w:val="15326074"/>
    <w:lvl w:ilvl="0">
      <w:start w:val="1"/>
      <w:numFmt w:val="decimal"/>
      <w:lvlText w:val="%1."/>
      <w:lvlJc w:val="left"/>
      <w:pPr>
        <w:ind w:left="720" w:hanging="360"/>
      </w:pPr>
      <w:rPr>
        <w:rFonts w:hint="default"/>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A86723"/>
    <w:multiLevelType w:val="hybridMultilevel"/>
    <w:tmpl w:val="FC4CB74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9B76F0"/>
    <w:multiLevelType w:val="hybridMultilevel"/>
    <w:tmpl w:val="54525CB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60930B5"/>
    <w:multiLevelType w:val="multilevel"/>
    <w:tmpl w:val="A114E7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65355A7"/>
    <w:multiLevelType w:val="hybridMultilevel"/>
    <w:tmpl w:val="40F21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0F560D"/>
    <w:multiLevelType w:val="hybridMultilevel"/>
    <w:tmpl w:val="4D900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832495"/>
    <w:multiLevelType w:val="hybridMultilevel"/>
    <w:tmpl w:val="AB2680E4"/>
    <w:lvl w:ilvl="0" w:tplc="10387C54">
      <w:start w:val="1"/>
      <w:numFmt w:val="decimal"/>
      <w:lvlText w:val="%1."/>
      <w:lvlJc w:val="left"/>
      <w:pPr>
        <w:ind w:left="1440" w:hanging="360"/>
      </w:pPr>
      <w:rPr>
        <w:rFonts w:ascii="Cambria" w:eastAsiaTheme="minorHAnsi" w:hAnsi="Cambria"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C3A4C8E"/>
    <w:multiLevelType w:val="hybridMultilevel"/>
    <w:tmpl w:val="C9D466B6"/>
    <w:lvl w:ilvl="0" w:tplc="8362B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A65EF2"/>
    <w:multiLevelType w:val="multilevel"/>
    <w:tmpl w:val="A114E7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CD44AC5"/>
    <w:multiLevelType w:val="hybridMultilevel"/>
    <w:tmpl w:val="845A057E"/>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FAA25D6"/>
    <w:multiLevelType w:val="hybridMultilevel"/>
    <w:tmpl w:val="09CC450C"/>
    <w:lvl w:ilvl="0" w:tplc="50A41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B973D2"/>
    <w:multiLevelType w:val="hybridMultilevel"/>
    <w:tmpl w:val="2506D66A"/>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2"/>
  </w:num>
  <w:num w:numId="2">
    <w:abstractNumId w:val="10"/>
  </w:num>
  <w:num w:numId="3">
    <w:abstractNumId w:val="36"/>
  </w:num>
  <w:num w:numId="4">
    <w:abstractNumId w:val="14"/>
  </w:num>
  <w:num w:numId="5">
    <w:abstractNumId w:val="6"/>
  </w:num>
  <w:num w:numId="6">
    <w:abstractNumId w:val="28"/>
  </w:num>
  <w:num w:numId="7">
    <w:abstractNumId w:val="19"/>
  </w:num>
  <w:num w:numId="8">
    <w:abstractNumId w:val="11"/>
  </w:num>
  <w:num w:numId="9">
    <w:abstractNumId w:val="2"/>
  </w:num>
  <w:num w:numId="10">
    <w:abstractNumId w:val="40"/>
  </w:num>
  <w:num w:numId="11">
    <w:abstractNumId w:val="39"/>
  </w:num>
  <w:num w:numId="12">
    <w:abstractNumId w:val="17"/>
  </w:num>
  <w:num w:numId="13">
    <w:abstractNumId w:val="20"/>
  </w:num>
  <w:num w:numId="14">
    <w:abstractNumId w:val="23"/>
  </w:num>
  <w:num w:numId="15">
    <w:abstractNumId w:val="38"/>
  </w:num>
  <w:num w:numId="16">
    <w:abstractNumId w:val="7"/>
  </w:num>
  <w:num w:numId="17">
    <w:abstractNumId w:val="25"/>
  </w:num>
  <w:num w:numId="18">
    <w:abstractNumId w:val="24"/>
  </w:num>
  <w:num w:numId="19">
    <w:abstractNumId w:val="30"/>
  </w:num>
  <w:num w:numId="20">
    <w:abstractNumId w:val="8"/>
  </w:num>
  <w:num w:numId="21">
    <w:abstractNumId w:val="34"/>
  </w:num>
  <w:num w:numId="22">
    <w:abstractNumId w:val="1"/>
  </w:num>
  <w:num w:numId="23">
    <w:abstractNumId w:val="26"/>
  </w:num>
  <w:num w:numId="24">
    <w:abstractNumId w:val="32"/>
  </w:num>
  <w:num w:numId="25">
    <w:abstractNumId w:val="29"/>
  </w:num>
  <w:num w:numId="26">
    <w:abstractNumId w:val="18"/>
  </w:num>
  <w:num w:numId="27">
    <w:abstractNumId w:val="35"/>
  </w:num>
  <w:num w:numId="28">
    <w:abstractNumId w:val="31"/>
  </w:num>
  <w:num w:numId="29">
    <w:abstractNumId w:val="37"/>
  </w:num>
  <w:num w:numId="30">
    <w:abstractNumId w:val="21"/>
  </w:num>
  <w:num w:numId="31">
    <w:abstractNumId w:val="4"/>
  </w:num>
  <w:num w:numId="32">
    <w:abstractNumId w:val="3"/>
  </w:num>
  <w:num w:numId="33">
    <w:abstractNumId w:val="15"/>
  </w:num>
  <w:num w:numId="34">
    <w:abstractNumId w:val="9"/>
  </w:num>
  <w:num w:numId="35">
    <w:abstractNumId w:val="16"/>
  </w:num>
  <w:num w:numId="36">
    <w:abstractNumId w:val="33"/>
  </w:num>
  <w:num w:numId="37">
    <w:abstractNumId w:val="13"/>
  </w:num>
  <w:num w:numId="38">
    <w:abstractNumId w:val="27"/>
  </w:num>
  <w:num w:numId="39">
    <w:abstractNumId w:val="0"/>
  </w:num>
  <w:num w:numId="40">
    <w:abstractNumId w:val="22"/>
  </w:num>
  <w:num w:numId="4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A5"/>
    <w:rsid w:val="00013795"/>
    <w:rsid w:val="00047A50"/>
    <w:rsid w:val="00062EAE"/>
    <w:rsid w:val="00063746"/>
    <w:rsid w:val="0006745A"/>
    <w:rsid w:val="00070CB4"/>
    <w:rsid w:val="000812D9"/>
    <w:rsid w:val="000965FC"/>
    <w:rsid w:val="000973A2"/>
    <w:rsid w:val="000A1229"/>
    <w:rsid w:val="000A616B"/>
    <w:rsid w:val="000C7D64"/>
    <w:rsid w:val="000D32E7"/>
    <w:rsid w:val="000E004F"/>
    <w:rsid w:val="000F0F66"/>
    <w:rsid w:val="000F38E6"/>
    <w:rsid w:val="0010087A"/>
    <w:rsid w:val="00103786"/>
    <w:rsid w:val="00112B2E"/>
    <w:rsid w:val="00113AD1"/>
    <w:rsid w:val="001177DE"/>
    <w:rsid w:val="0012127D"/>
    <w:rsid w:val="00121A55"/>
    <w:rsid w:val="0012227C"/>
    <w:rsid w:val="001276DF"/>
    <w:rsid w:val="00134447"/>
    <w:rsid w:val="0013537D"/>
    <w:rsid w:val="0014077A"/>
    <w:rsid w:val="00142BE8"/>
    <w:rsid w:val="00143202"/>
    <w:rsid w:val="00145E7D"/>
    <w:rsid w:val="001614C2"/>
    <w:rsid w:val="001624AD"/>
    <w:rsid w:val="001753AF"/>
    <w:rsid w:val="00183D1C"/>
    <w:rsid w:val="00193CC1"/>
    <w:rsid w:val="001A167F"/>
    <w:rsid w:val="001A3A61"/>
    <w:rsid w:val="001A6AA9"/>
    <w:rsid w:val="001A705D"/>
    <w:rsid w:val="001A70EF"/>
    <w:rsid w:val="001A790A"/>
    <w:rsid w:val="001A7F6F"/>
    <w:rsid w:val="001C10CB"/>
    <w:rsid w:val="001C261D"/>
    <w:rsid w:val="001E0132"/>
    <w:rsid w:val="001E17B9"/>
    <w:rsid w:val="001E5379"/>
    <w:rsid w:val="001E65FB"/>
    <w:rsid w:val="001F2AD9"/>
    <w:rsid w:val="001F67C8"/>
    <w:rsid w:val="001F7BFA"/>
    <w:rsid w:val="00202B41"/>
    <w:rsid w:val="00206CFD"/>
    <w:rsid w:val="002149E5"/>
    <w:rsid w:val="00220F46"/>
    <w:rsid w:val="0022193C"/>
    <w:rsid w:val="002372F1"/>
    <w:rsid w:val="00246044"/>
    <w:rsid w:val="00252827"/>
    <w:rsid w:val="002611EC"/>
    <w:rsid w:val="00265805"/>
    <w:rsid w:val="002703F9"/>
    <w:rsid w:val="002814AB"/>
    <w:rsid w:val="00286089"/>
    <w:rsid w:val="00286D79"/>
    <w:rsid w:val="002A1A9C"/>
    <w:rsid w:val="002B104A"/>
    <w:rsid w:val="002B2D58"/>
    <w:rsid w:val="002B6082"/>
    <w:rsid w:val="002C0A3B"/>
    <w:rsid w:val="002C15FA"/>
    <w:rsid w:val="002D688E"/>
    <w:rsid w:val="002D72B2"/>
    <w:rsid w:val="002F68CD"/>
    <w:rsid w:val="00300BE6"/>
    <w:rsid w:val="00301D85"/>
    <w:rsid w:val="00315E7A"/>
    <w:rsid w:val="00320F19"/>
    <w:rsid w:val="00321D10"/>
    <w:rsid w:val="003259F1"/>
    <w:rsid w:val="003334E9"/>
    <w:rsid w:val="0034044A"/>
    <w:rsid w:val="00340528"/>
    <w:rsid w:val="0034106A"/>
    <w:rsid w:val="003411EF"/>
    <w:rsid w:val="00350862"/>
    <w:rsid w:val="00351E56"/>
    <w:rsid w:val="00357A90"/>
    <w:rsid w:val="00382130"/>
    <w:rsid w:val="00383231"/>
    <w:rsid w:val="00387B78"/>
    <w:rsid w:val="0039244F"/>
    <w:rsid w:val="00392798"/>
    <w:rsid w:val="00396BE7"/>
    <w:rsid w:val="00396FBF"/>
    <w:rsid w:val="003B243E"/>
    <w:rsid w:val="003C0127"/>
    <w:rsid w:val="003C74A9"/>
    <w:rsid w:val="003D345F"/>
    <w:rsid w:val="003D4AC5"/>
    <w:rsid w:val="003D6E24"/>
    <w:rsid w:val="003E175A"/>
    <w:rsid w:val="003E37B1"/>
    <w:rsid w:val="003F33FF"/>
    <w:rsid w:val="003F6618"/>
    <w:rsid w:val="004009D6"/>
    <w:rsid w:val="004015C4"/>
    <w:rsid w:val="0041626D"/>
    <w:rsid w:val="00417093"/>
    <w:rsid w:val="004226A5"/>
    <w:rsid w:val="00426B4F"/>
    <w:rsid w:val="00432E47"/>
    <w:rsid w:val="00433646"/>
    <w:rsid w:val="00442C0E"/>
    <w:rsid w:val="00445982"/>
    <w:rsid w:val="00462AF7"/>
    <w:rsid w:val="00465135"/>
    <w:rsid w:val="00480D25"/>
    <w:rsid w:val="00486934"/>
    <w:rsid w:val="004908D5"/>
    <w:rsid w:val="00490BAB"/>
    <w:rsid w:val="00493F47"/>
    <w:rsid w:val="00497BA2"/>
    <w:rsid w:val="004C56E3"/>
    <w:rsid w:val="004C5AB2"/>
    <w:rsid w:val="004D578F"/>
    <w:rsid w:val="004E2986"/>
    <w:rsid w:val="004E48D4"/>
    <w:rsid w:val="004F122D"/>
    <w:rsid w:val="004F2BBE"/>
    <w:rsid w:val="004F44A0"/>
    <w:rsid w:val="004F7D96"/>
    <w:rsid w:val="00502ACF"/>
    <w:rsid w:val="00504C4E"/>
    <w:rsid w:val="005114F7"/>
    <w:rsid w:val="00513543"/>
    <w:rsid w:val="00521D65"/>
    <w:rsid w:val="0052450B"/>
    <w:rsid w:val="005378D5"/>
    <w:rsid w:val="005416A2"/>
    <w:rsid w:val="00541CDD"/>
    <w:rsid w:val="005720B8"/>
    <w:rsid w:val="005737BB"/>
    <w:rsid w:val="00580112"/>
    <w:rsid w:val="005815A5"/>
    <w:rsid w:val="005966E0"/>
    <w:rsid w:val="005A550A"/>
    <w:rsid w:val="005A6A8E"/>
    <w:rsid w:val="005B7D80"/>
    <w:rsid w:val="005C2A5D"/>
    <w:rsid w:val="005C5709"/>
    <w:rsid w:val="005D3E80"/>
    <w:rsid w:val="005E00F5"/>
    <w:rsid w:val="005E6669"/>
    <w:rsid w:val="005F6359"/>
    <w:rsid w:val="005F7331"/>
    <w:rsid w:val="006101F6"/>
    <w:rsid w:val="0062396A"/>
    <w:rsid w:val="00630CFD"/>
    <w:rsid w:val="00632522"/>
    <w:rsid w:val="006364AB"/>
    <w:rsid w:val="006422B3"/>
    <w:rsid w:val="006554FF"/>
    <w:rsid w:val="00662CD1"/>
    <w:rsid w:val="00676AEA"/>
    <w:rsid w:val="00682F0B"/>
    <w:rsid w:val="006861A5"/>
    <w:rsid w:val="00693E66"/>
    <w:rsid w:val="006A347D"/>
    <w:rsid w:val="006C4481"/>
    <w:rsid w:val="006C7D96"/>
    <w:rsid w:val="006D258C"/>
    <w:rsid w:val="006D3493"/>
    <w:rsid w:val="006D77A6"/>
    <w:rsid w:val="006E1950"/>
    <w:rsid w:val="006E2720"/>
    <w:rsid w:val="006E453D"/>
    <w:rsid w:val="006F0995"/>
    <w:rsid w:val="006F4921"/>
    <w:rsid w:val="007148C5"/>
    <w:rsid w:val="0072073E"/>
    <w:rsid w:val="00725011"/>
    <w:rsid w:val="00726079"/>
    <w:rsid w:val="0073605A"/>
    <w:rsid w:val="0074133C"/>
    <w:rsid w:val="00743403"/>
    <w:rsid w:val="00744C07"/>
    <w:rsid w:val="007522FA"/>
    <w:rsid w:val="00770272"/>
    <w:rsid w:val="00771295"/>
    <w:rsid w:val="0077345A"/>
    <w:rsid w:val="007904F5"/>
    <w:rsid w:val="00790A30"/>
    <w:rsid w:val="00795D68"/>
    <w:rsid w:val="0079661A"/>
    <w:rsid w:val="007A4E07"/>
    <w:rsid w:val="007A58F9"/>
    <w:rsid w:val="007C1D4F"/>
    <w:rsid w:val="007D417A"/>
    <w:rsid w:val="007D45F4"/>
    <w:rsid w:val="007E5AF5"/>
    <w:rsid w:val="00802A27"/>
    <w:rsid w:val="00810FFC"/>
    <w:rsid w:val="00811B88"/>
    <w:rsid w:val="00824E25"/>
    <w:rsid w:val="00836BFE"/>
    <w:rsid w:val="008373A7"/>
    <w:rsid w:val="0084181E"/>
    <w:rsid w:val="008478EE"/>
    <w:rsid w:val="00853990"/>
    <w:rsid w:val="00855741"/>
    <w:rsid w:val="00867F30"/>
    <w:rsid w:val="008720FF"/>
    <w:rsid w:val="00877A6D"/>
    <w:rsid w:val="00892545"/>
    <w:rsid w:val="008D2D66"/>
    <w:rsid w:val="008D5866"/>
    <w:rsid w:val="008D6458"/>
    <w:rsid w:val="008E3AE9"/>
    <w:rsid w:val="008F2D8B"/>
    <w:rsid w:val="008F621E"/>
    <w:rsid w:val="009037EC"/>
    <w:rsid w:val="009170B5"/>
    <w:rsid w:val="009170C1"/>
    <w:rsid w:val="00925039"/>
    <w:rsid w:val="00937B29"/>
    <w:rsid w:val="00966ED4"/>
    <w:rsid w:val="00974FA6"/>
    <w:rsid w:val="0097615F"/>
    <w:rsid w:val="00980E19"/>
    <w:rsid w:val="00991834"/>
    <w:rsid w:val="00995A42"/>
    <w:rsid w:val="009A093F"/>
    <w:rsid w:val="009A50E9"/>
    <w:rsid w:val="009A5403"/>
    <w:rsid w:val="009B721E"/>
    <w:rsid w:val="009D784D"/>
    <w:rsid w:val="009E7935"/>
    <w:rsid w:val="009E79AA"/>
    <w:rsid w:val="009F518B"/>
    <w:rsid w:val="009F63E5"/>
    <w:rsid w:val="00A04158"/>
    <w:rsid w:val="00A14036"/>
    <w:rsid w:val="00A16A3F"/>
    <w:rsid w:val="00A27E98"/>
    <w:rsid w:val="00A31503"/>
    <w:rsid w:val="00A34F2D"/>
    <w:rsid w:val="00A50A96"/>
    <w:rsid w:val="00A51144"/>
    <w:rsid w:val="00A573F2"/>
    <w:rsid w:val="00A60354"/>
    <w:rsid w:val="00A6081C"/>
    <w:rsid w:val="00A609EF"/>
    <w:rsid w:val="00A655D3"/>
    <w:rsid w:val="00A67EA0"/>
    <w:rsid w:val="00A70663"/>
    <w:rsid w:val="00A8379E"/>
    <w:rsid w:val="00A86FB9"/>
    <w:rsid w:val="00A876ED"/>
    <w:rsid w:val="00A967CE"/>
    <w:rsid w:val="00AB2C97"/>
    <w:rsid w:val="00AC7C4C"/>
    <w:rsid w:val="00AD55EF"/>
    <w:rsid w:val="00AD6621"/>
    <w:rsid w:val="00AD70C1"/>
    <w:rsid w:val="00AF317C"/>
    <w:rsid w:val="00B27F71"/>
    <w:rsid w:val="00B36969"/>
    <w:rsid w:val="00B42480"/>
    <w:rsid w:val="00B50A4E"/>
    <w:rsid w:val="00B53187"/>
    <w:rsid w:val="00B57015"/>
    <w:rsid w:val="00B61BBB"/>
    <w:rsid w:val="00B63FF5"/>
    <w:rsid w:val="00B662C7"/>
    <w:rsid w:val="00B77CC3"/>
    <w:rsid w:val="00B82423"/>
    <w:rsid w:val="00B85111"/>
    <w:rsid w:val="00B95C9B"/>
    <w:rsid w:val="00B97375"/>
    <w:rsid w:val="00BA6DBF"/>
    <w:rsid w:val="00BC2FBB"/>
    <w:rsid w:val="00BC3673"/>
    <w:rsid w:val="00BC5793"/>
    <w:rsid w:val="00BD4554"/>
    <w:rsid w:val="00BD71FD"/>
    <w:rsid w:val="00BE5105"/>
    <w:rsid w:val="00BE6FAC"/>
    <w:rsid w:val="00C144CC"/>
    <w:rsid w:val="00C23BDA"/>
    <w:rsid w:val="00C405B1"/>
    <w:rsid w:val="00C42307"/>
    <w:rsid w:val="00C47E05"/>
    <w:rsid w:val="00C56416"/>
    <w:rsid w:val="00C66E5E"/>
    <w:rsid w:val="00C67989"/>
    <w:rsid w:val="00C76BB5"/>
    <w:rsid w:val="00C7780E"/>
    <w:rsid w:val="00C84829"/>
    <w:rsid w:val="00C923BC"/>
    <w:rsid w:val="00C93606"/>
    <w:rsid w:val="00C95396"/>
    <w:rsid w:val="00C95FB3"/>
    <w:rsid w:val="00CA0DB8"/>
    <w:rsid w:val="00CA1D39"/>
    <w:rsid w:val="00CA28F9"/>
    <w:rsid w:val="00CA37D9"/>
    <w:rsid w:val="00CA4F74"/>
    <w:rsid w:val="00CB178D"/>
    <w:rsid w:val="00CB2960"/>
    <w:rsid w:val="00CB6CF7"/>
    <w:rsid w:val="00CD1201"/>
    <w:rsid w:val="00CE53A5"/>
    <w:rsid w:val="00CE6FBE"/>
    <w:rsid w:val="00CF7A2A"/>
    <w:rsid w:val="00D02041"/>
    <w:rsid w:val="00D05312"/>
    <w:rsid w:val="00D062D7"/>
    <w:rsid w:val="00D14580"/>
    <w:rsid w:val="00D15F8E"/>
    <w:rsid w:val="00D2158D"/>
    <w:rsid w:val="00D305F1"/>
    <w:rsid w:val="00D30F9B"/>
    <w:rsid w:val="00D356D4"/>
    <w:rsid w:val="00D44C76"/>
    <w:rsid w:val="00D45250"/>
    <w:rsid w:val="00D53953"/>
    <w:rsid w:val="00D66B73"/>
    <w:rsid w:val="00D719F0"/>
    <w:rsid w:val="00D753F4"/>
    <w:rsid w:val="00D778D7"/>
    <w:rsid w:val="00D8308C"/>
    <w:rsid w:val="00D96602"/>
    <w:rsid w:val="00DA06FF"/>
    <w:rsid w:val="00DA0F94"/>
    <w:rsid w:val="00DA70F5"/>
    <w:rsid w:val="00DA7175"/>
    <w:rsid w:val="00DC11D9"/>
    <w:rsid w:val="00DC1399"/>
    <w:rsid w:val="00DD1EDA"/>
    <w:rsid w:val="00DD50F7"/>
    <w:rsid w:val="00DE1310"/>
    <w:rsid w:val="00DE3328"/>
    <w:rsid w:val="00DF06FF"/>
    <w:rsid w:val="00DF3848"/>
    <w:rsid w:val="00DF5F7A"/>
    <w:rsid w:val="00E0146E"/>
    <w:rsid w:val="00E03218"/>
    <w:rsid w:val="00E071B5"/>
    <w:rsid w:val="00E07A99"/>
    <w:rsid w:val="00E10EAD"/>
    <w:rsid w:val="00E22AD0"/>
    <w:rsid w:val="00E25299"/>
    <w:rsid w:val="00E31CBC"/>
    <w:rsid w:val="00E34010"/>
    <w:rsid w:val="00E34FAF"/>
    <w:rsid w:val="00E350F4"/>
    <w:rsid w:val="00E40E40"/>
    <w:rsid w:val="00E420BA"/>
    <w:rsid w:val="00E55E31"/>
    <w:rsid w:val="00E72FB7"/>
    <w:rsid w:val="00E813D4"/>
    <w:rsid w:val="00E81855"/>
    <w:rsid w:val="00E838F2"/>
    <w:rsid w:val="00E873C4"/>
    <w:rsid w:val="00E906EB"/>
    <w:rsid w:val="00EA6648"/>
    <w:rsid w:val="00EB3EA3"/>
    <w:rsid w:val="00EC21A9"/>
    <w:rsid w:val="00EC2A26"/>
    <w:rsid w:val="00EC2A9D"/>
    <w:rsid w:val="00EC2E10"/>
    <w:rsid w:val="00EC6B0A"/>
    <w:rsid w:val="00EC6D97"/>
    <w:rsid w:val="00F0622C"/>
    <w:rsid w:val="00F14F2A"/>
    <w:rsid w:val="00F16462"/>
    <w:rsid w:val="00F4305D"/>
    <w:rsid w:val="00F535C4"/>
    <w:rsid w:val="00F5680B"/>
    <w:rsid w:val="00F75584"/>
    <w:rsid w:val="00F95D41"/>
    <w:rsid w:val="00F9701C"/>
    <w:rsid w:val="00FA2700"/>
    <w:rsid w:val="00FB3594"/>
    <w:rsid w:val="00FC0030"/>
    <w:rsid w:val="00FD181D"/>
    <w:rsid w:val="00FD2831"/>
    <w:rsid w:val="00FE0D38"/>
    <w:rsid w:val="00FE148E"/>
    <w:rsid w:val="00FE32D1"/>
    <w:rsid w:val="00FF3188"/>
    <w:rsid w:val="00FF3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62F9D42"/>
  <w15:chartTrackingRefBased/>
  <w15:docId w15:val="{9423F991-B38D-4524-9C61-6EE99EC3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5709"/>
    <w:pPr>
      <w:jc w:val="both"/>
    </w:pPr>
    <w:rPr>
      <w:rFonts w:ascii="Cambria" w:hAnsi="Cambria"/>
    </w:rPr>
  </w:style>
  <w:style w:type="paragraph" w:styleId="Nagwek1">
    <w:name w:val="heading 1"/>
    <w:basedOn w:val="Normalny"/>
    <w:next w:val="Normalny"/>
    <w:link w:val="Nagwek1Znak"/>
    <w:uiPriority w:val="9"/>
    <w:qFormat/>
    <w:rsid w:val="00D2158D"/>
    <w:pPr>
      <w:keepNext/>
      <w:keepLines/>
      <w:numPr>
        <w:numId w:val="1"/>
      </w:numPr>
      <w:spacing w:before="240" w:after="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1F7BFA"/>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D77A6"/>
    <w:pPr>
      <w:tabs>
        <w:tab w:val="center" w:pos="4536"/>
        <w:tab w:val="right" w:pos="9072"/>
      </w:tabs>
      <w:spacing w:after="0" w:line="240" w:lineRule="auto"/>
    </w:pPr>
    <w:rPr>
      <w:rFonts w:ascii="Calibri" w:eastAsia="Times New Roman" w:hAnsi="Calibri" w:cs="Calibri"/>
      <w:sz w:val="20"/>
      <w:szCs w:val="20"/>
      <w:lang w:val="en-US"/>
    </w:rPr>
  </w:style>
  <w:style w:type="character" w:customStyle="1" w:styleId="NagwekZnak">
    <w:name w:val="Nagłówek Znak"/>
    <w:basedOn w:val="Domylnaczcionkaakapitu"/>
    <w:link w:val="Nagwek"/>
    <w:uiPriority w:val="99"/>
    <w:rsid w:val="006D77A6"/>
    <w:rPr>
      <w:rFonts w:ascii="Calibri" w:eastAsia="Times New Roman" w:hAnsi="Calibri" w:cs="Calibri"/>
      <w:sz w:val="20"/>
      <w:szCs w:val="20"/>
      <w:lang w:val="en-US"/>
    </w:rPr>
  </w:style>
  <w:style w:type="paragraph" w:styleId="Stopka">
    <w:name w:val="footer"/>
    <w:basedOn w:val="Normalny"/>
    <w:link w:val="StopkaZnak"/>
    <w:uiPriority w:val="99"/>
    <w:unhideWhenUsed/>
    <w:rsid w:val="006D77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77A6"/>
    <w:rPr>
      <w:rFonts w:ascii="Cambria" w:hAnsi="Cambria"/>
    </w:rPr>
  </w:style>
  <w:style w:type="character" w:customStyle="1" w:styleId="Nagwek1Znak">
    <w:name w:val="Nagłówek 1 Znak"/>
    <w:basedOn w:val="Domylnaczcionkaakapitu"/>
    <w:link w:val="Nagwek1"/>
    <w:uiPriority w:val="9"/>
    <w:rsid w:val="0034106A"/>
    <w:rPr>
      <w:rFonts w:ascii="Cambria" w:eastAsiaTheme="majorEastAsia" w:hAnsi="Cambria" w:cstheme="majorBidi"/>
      <w:b/>
      <w:sz w:val="24"/>
      <w:szCs w:val="32"/>
    </w:rPr>
  </w:style>
  <w:style w:type="character" w:styleId="Odwoaniedelikatne">
    <w:name w:val="Subtle Reference"/>
    <w:basedOn w:val="Nagwek1Znak"/>
    <w:uiPriority w:val="31"/>
    <w:rsid w:val="006422B3"/>
    <w:rPr>
      <w:rFonts w:ascii="Cambria" w:eastAsiaTheme="majorEastAsia" w:hAnsi="Cambria" w:cstheme="majorBidi"/>
      <w:b/>
      <w:smallCaps/>
      <w:color w:val="000000" w:themeColor="text1"/>
      <w:sz w:val="22"/>
      <w:szCs w:val="32"/>
    </w:rPr>
  </w:style>
  <w:style w:type="character" w:styleId="Odwoanieintensywne">
    <w:name w:val="Intense Reference"/>
    <w:uiPriority w:val="32"/>
    <w:rsid w:val="006422B3"/>
    <w:rPr>
      <w:b/>
      <w:bCs/>
      <w:smallCaps/>
      <w:color w:val="auto"/>
      <w:spacing w:val="5"/>
    </w:rPr>
  </w:style>
  <w:style w:type="paragraph" w:styleId="Cytat">
    <w:name w:val="Quote"/>
    <w:basedOn w:val="Normalny"/>
    <w:next w:val="Normalny"/>
    <w:link w:val="CytatZnak"/>
    <w:uiPriority w:val="29"/>
    <w:qFormat/>
    <w:rsid w:val="004F122D"/>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4F122D"/>
    <w:rPr>
      <w:rFonts w:ascii="Cambria" w:hAnsi="Cambria"/>
      <w:i/>
      <w:iCs/>
      <w:color w:val="404040" w:themeColor="text1" w:themeTint="BF"/>
    </w:rPr>
  </w:style>
  <w:style w:type="paragraph" w:styleId="Bezodstpw">
    <w:name w:val="No Spacing"/>
    <w:uiPriority w:val="1"/>
    <w:qFormat/>
    <w:rsid w:val="004F122D"/>
    <w:pPr>
      <w:spacing w:after="0" w:line="240" w:lineRule="auto"/>
    </w:pPr>
    <w:rPr>
      <w:rFonts w:ascii="Cambria" w:hAnsi="Cambria"/>
    </w:rPr>
  </w:style>
  <w:style w:type="paragraph" w:styleId="Akapitzlist">
    <w:name w:val="List Paragraph"/>
    <w:basedOn w:val="Normalny"/>
    <w:qFormat/>
    <w:rsid w:val="004F122D"/>
    <w:pPr>
      <w:ind w:left="720"/>
      <w:contextualSpacing/>
    </w:pPr>
  </w:style>
  <w:style w:type="character" w:customStyle="1" w:styleId="Nagwek2Znak">
    <w:name w:val="Nagłówek 2 Znak"/>
    <w:basedOn w:val="Domylnaczcionkaakapitu"/>
    <w:link w:val="Nagwek2"/>
    <w:uiPriority w:val="9"/>
    <w:rsid w:val="001F7BFA"/>
    <w:rPr>
      <w:rFonts w:ascii="Cambria" w:eastAsiaTheme="majorEastAsia" w:hAnsi="Cambria" w:cstheme="majorBidi"/>
      <w:b/>
      <w:szCs w:val="26"/>
    </w:rPr>
  </w:style>
  <w:style w:type="table" w:styleId="Tabela-Siatka">
    <w:name w:val="Table Grid"/>
    <w:basedOn w:val="Standardowy"/>
    <w:uiPriority w:val="39"/>
    <w:rsid w:val="0022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qFormat/>
    <w:rsid w:val="006101F6"/>
    <w:pPr>
      <w:suppressLineNumbers/>
      <w:suppressAutoHyphens/>
      <w:spacing w:before="120" w:after="120" w:line="240" w:lineRule="auto"/>
      <w:jc w:val="left"/>
    </w:pPr>
    <w:rPr>
      <w:rFonts w:ascii="Times New Roman" w:eastAsia="Times New Roman" w:hAnsi="Times New Roman" w:cs="Mangal"/>
      <w:i/>
      <w:iCs/>
      <w:sz w:val="24"/>
      <w:szCs w:val="24"/>
      <w:lang w:eastAsia="zh-CN"/>
    </w:rPr>
  </w:style>
  <w:style w:type="table" w:customStyle="1" w:styleId="Tabela-Siatka1">
    <w:name w:val="Tabela - Siatka1"/>
    <w:basedOn w:val="Standardowy"/>
    <w:next w:val="Tabela-Siatka"/>
    <w:uiPriority w:val="39"/>
    <w:rsid w:val="002C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E6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A6648"/>
    <w:rPr>
      <w:color w:val="0563C1" w:themeColor="hyperlink"/>
      <w:u w:val="single"/>
    </w:rPr>
  </w:style>
  <w:style w:type="character" w:customStyle="1" w:styleId="UnresolvedMention">
    <w:name w:val="Unresolved Mention"/>
    <w:basedOn w:val="Domylnaczcionkaakapitu"/>
    <w:uiPriority w:val="99"/>
    <w:semiHidden/>
    <w:unhideWhenUsed/>
    <w:rsid w:val="00EA6648"/>
    <w:rPr>
      <w:color w:val="605E5C"/>
      <w:shd w:val="clear" w:color="auto" w:fill="E1DFDD"/>
    </w:rPr>
  </w:style>
  <w:style w:type="paragraph" w:styleId="Tekstdymka">
    <w:name w:val="Balloon Text"/>
    <w:basedOn w:val="Normalny"/>
    <w:link w:val="TekstdymkaZnak"/>
    <w:uiPriority w:val="99"/>
    <w:semiHidden/>
    <w:unhideWhenUsed/>
    <w:rsid w:val="008557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5741"/>
    <w:rPr>
      <w:rFonts w:ascii="Segoe UI" w:hAnsi="Segoe UI" w:cs="Segoe UI"/>
      <w:sz w:val="18"/>
      <w:szCs w:val="18"/>
    </w:rPr>
  </w:style>
  <w:style w:type="paragraph" w:styleId="Tekstpodstawowy">
    <w:name w:val="Body Text"/>
    <w:basedOn w:val="Normalny"/>
    <w:link w:val="TekstpodstawowyZnak"/>
    <w:rsid w:val="00855741"/>
    <w:pPr>
      <w:suppressAutoHyphens/>
      <w:spacing w:after="140" w:line="288" w:lineRule="auto"/>
      <w:jc w:val="left"/>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85574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273722">
      <w:bodyDiv w:val="1"/>
      <w:marLeft w:val="0"/>
      <w:marRight w:val="0"/>
      <w:marTop w:val="0"/>
      <w:marBottom w:val="0"/>
      <w:divBdr>
        <w:top w:val="none" w:sz="0" w:space="0" w:color="auto"/>
        <w:left w:val="none" w:sz="0" w:space="0" w:color="auto"/>
        <w:bottom w:val="none" w:sz="0" w:space="0" w:color="auto"/>
        <w:right w:val="none" w:sz="0" w:space="0" w:color="auto"/>
      </w:divBdr>
      <w:divsChild>
        <w:div w:id="195724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tg4ytcobyhez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cmruhe3t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63541-8EF3-485F-A8D2-1CF947B3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3434</Words>
  <Characters>20606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Jaskula</dc:creator>
  <cp:keywords/>
  <dc:description/>
  <cp:lastModifiedBy>Pawel_Dobrzynski</cp:lastModifiedBy>
  <cp:revision>4</cp:revision>
  <dcterms:created xsi:type="dcterms:W3CDTF">2024-11-05T10:59:00Z</dcterms:created>
  <dcterms:modified xsi:type="dcterms:W3CDTF">2024-11-19T09:13:00Z</dcterms:modified>
</cp:coreProperties>
</file>